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268DC6">
      <w:pPr>
        <w:spacing w:line="240" w:lineRule="auto"/>
        <w:rPr>
          <w:rFonts w:ascii="新細明體" w:hAnsi="新細明體"/>
          <w:b/>
          <w:bCs/>
          <w:color w:val="FF0000"/>
          <w:sz w:val="24"/>
          <w:szCs w:val="24"/>
        </w:rPr>
      </w:pPr>
      <w:bookmarkStart w:id="0" w:name="_Hlk24366036"/>
    </w:p>
    <w:p w14:paraId="1927E129">
      <w:pPr>
        <w:spacing w:line="240" w:lineRule="auto"/>
        <w:rPr>
          <w:rFonts w:ascii="新細明體" w:hAnsi="新細明體"/>
          <w:b/>
          <w:bCs/>
          <w:sz w:val="24"/>
          <w:szCs w:val="24"/>
        </w:rPr>
      </w:pPr>
    </w:p>
    <w:p w14:paraId="4F4799F9">
      <w:pPr>
        <w:spacing w:line="240" w:lineRule="auto"/>
        <w:rPr>
          <w:rFonts w:ascii="新細明體" w:hAnsi="新細明體"/>
          <w:b/>
          <w:bCs/>
          <w:sz w:val="24"/>
          <w:szCs w:val="24"/>
        </w:rPr>
      </w:pPr>
    </w:p>
    <w:p w14:paraId="0A0960D4">
      <w:pPr>
        <w:spacing w:line="240" w:lineRule="auto"/>
        <w:jc w:val="center"/>
        <w:rPr>
          <w:rFonts w:ascii="新細明體" w:hAnsi="新細明體"/>
          <w:b/>
          <w:bCs/>
          <w:sz w:val="40"/>
          <w:szCs w:val="40"/>
        </w:rPr>
      </w:pPr>
      <w:r>
        <w:rPr>
          <w:rFonts w:hint="eastAsia" w:ascii="新細明體" w:hAnsi="新細明體"/>
          <w:b/>
          <w:bCs/>
          <w:sz w:val="40"/>
          <w:szCs w:val="40"/>
        </w:rPr>
        <w:t>2</w:t>
      </w:r>
      <w:r>
        <w:rPr>
          <w:rFonts w:ascii="新細明體" w:hAnsi="新細明體"/>
          <w:b/>
          <w:bCs/>
          <w:sz w:val="40"/>
          <w:szCs w:val="40"/>
        </w:rPr>
        <w:t>1</w:t>
      </w:r>
      <w:r>
        <w:rPr>
          <w:rFonts w:hint="eastAsia" w:ascii="新細明體" w:hAnsi="新細明體"/>
          <w:b/>
          <w:bCs/>
          <w:sz w:val="40"/>
          <w:szCs w:val="40"/>
        </w:rPr>
        <w:t>世紀的「破窗效應」理論與 「路西法效應」</w:t>
      </w:r>
    </w:p>
    <w:p w14:paraId="74A85F6A">
      <w:pPr>
        <w:spacing w:line="240" w:lineRule="auto"/>
        <w:jc w:val="center"/>
        <w:rPr>
          <w:rFonts w:ascii="新細明體" w:hAnsi="新細明體"/>
          <w:b/>
          <w:bCs/>
          <w:sz w:val="40"/>
          <w:szCs w:val="40"/>
        </w:rPr>
      </w:pPr>
      <w:r>
        <w:rPr>
          <w:rFonts w:hint="eastAsia" w:ascii="新細明體" w:hAnsi="新細明體"/>
          <w:b/>
          <w:bCs/>
          <w:sz w:val="40"/>
          <w:szCs w:val="40"/>
        </w:rPr>
        <w:t>對香港社會運動的影響和修補建議</w:t>
      </w:r>
    </w:p>
    <w:p w14:paraId="30529F20">
      <w:pPr>
        <w:spacing w:line="240" w:lineRule="auto"/>
        <w:jc w:val="center"/>
        <w:rPr>
          <w:rFonts w:ascii="新細明體" w:hAnsi="新細明體"/>
          <w:b/>
          <w:bCs/>
          <w:sz w:val="24"/>
          <w:szCs w:val="24"/>
        </w:rPr>
      </w:pPr>
    </w:p>
    <w:p w14:paraId="1FA39647">
      <w:pPr>
        <w:spacing w:line="240" w:lineRule="auto"/>
        <w:jc w:val="center"/>
        <w:rPr>
          <w:rFonts w:ascii="新細明體" w:hAnsi="新細明體"/>
          <w:b/>
          <w:bCs/>
          <w:sz w:val="24"/>
          <w:szCs w:val="24"/>
        </w:rPr>
      </w:pPr>
    </w:p>
    <w:p w14:paraId="7E4F4137">
      <w:pPr>
        <w:spacing w:line="240" w:lineRule="auto"/>
        <w:jc w:val="center"/>
        <w:rPr>
          <w:rFonts w:ascii="新細明體" w:hAnsi="新細明體"/>
          <w:b/>
          <w:bCs/>
          <w:sz w:val="24"/>
          <w:szCs w:val="24"/>
        </w:rPr>
      </w:pPr>
    </w:p>
    <w:p w14:paraId="44B288CA">
      <w:pPr>
        <w:spacing w:line="240" w:lineRule="auto"/>
        <w:jc w:val="center"/>
        <w:rPr>
          <w:rFonts w:ascii="新細明體" w:hAnsi="新細明體"/>
          <w:b/>
          <w:bCs/>
          <w:sz w:val="24"/>
          <w:szCs w:val="24"/>
        </w:rPr>
      </w:pPr>
    </w:p>
    <w:p w14:paraId="7151423C">
      <w:pPr>
        <w:spacing w:line="240" w:lineRule="auto"/>
        <w:jc w:val="center"/>
        <w:rPr>
          <w:rFonts w:ascii="新細明體" w:hAnsi="新細明體"/>
          <w:b/>
          <w:bCs/>
          <w:sz w:val="24"/>
          <w:szCs w:val="24"/>
        </w:rPr>
      </w:pPr>
    </w:p>
    <w:p w14:paraId="68E079C8">
      <w:pPr>
        <w:spacing w:line="240" w:lineRule="auto"/>
        <w:jc w:val="center"/>
        <w:rPr>
          <w:rFonts w:ascii="新細明體" w:hAnsi="新細明體"/>
          <w:b/>
          <w:bCs/>
          <w:sz w:val="24"/>
          <w:szCs w:val="24"/>
        </w:rPr>
      </w:pPr>
    </w:p>
    <w:p w14:paraId="303FA459">
      <w:pPr>
        <w:spacing w:line="240" w:lineRule="auto"/>
        <w:jc w:val="center"/>
        <w:rPr>
          <w:rFonts w:ascii="新細明體" w:hAnsi="新細明體"/>
          <w:b/>
          <w:bCs/>
          <w:sz w:val="24"/>
          <w:szCs w:val="24"/>
        </w:rPr>
      </w:pPr>
    </w:p>
    <w:p w14:paraId="10E7FBFA">
      <w:pPr>
        <w:spacing w:line="240" w:lineRule="auto"/>
        <w:jc w:val="center"/>
        <w:rPr>
          <w:rFonts w:ascii="新細明體" w:hAnsi="新細明體"/>
          <w:b/>
          <w:bCs/>
          <w:sz w:val="24"/>
          <w:szCs w:val="24"/>
        </w:rPr>
      </w:pPr>
    </w:p>
    <w:p w14:paraId="41678319">
      <w:pPr>
        <w:spacing w:line="240" w:lineRule="auto"/>
        <w:jc w:val="center"/>
        <w:rPr>
          <w:rFonts w:ascii="新細明體" w:hAnsi="新細明體"/>
          <w:sz w:val="24"/>
          <w:szCs w:val="24"/>
        </w:rPr>
      </w:pPr>
    </w:p>
    <w:p w14:paraId="6E398E3F">
      <w:pPr>
        <w:tabs>
          <w:tab w:val="left" w:pos="851"/>
        </w:tabs>
        <w:spacing w:after="0" w:line="240" w:lineRule="auto"/>
        <w:jc w:val="center"/>
        <w:rPr>
          <w:rFonts w:ascii="新細明體" w:hAnsi="新細明體"/>
          <w:b/>
          <w:bCs/>
          <w:sz w:val="24"/>
          <w:szCs w:val="24"/>
        </w:rPr>
      </w:pPr>
      <w:r>
        <w:rPr>
          <w:rFonts w:hint="eastAsia" w:ascii="新細明體" w:hAnsi="新細明體"/>
          <w:sz w:val="24"/>
          <w:szCs w:val="24"/>
        </w:rPr>
        <w:t xml:space="preserve"> 作者：</w:t>
      </w:r>
      <w:r>
        <w:rPr>
          <w:rFonts w:ascii="新細明體" w:hAnsi="新細明體"/>
          <w:sz w:val="24"/>
          <w:szCs w:val="24"/>
        </w:rPr>
        <w:tab/>
      </w:r>
      <w:r>
        <w:rPr>
          <w:rFonts w:hint="eastAsia" w:ascii="新細明體" w:hAnsi="新細明體"/>
          <w:b/>
          <w:bCs/>
          <w:sz w:val="24"/>
          <w:szCs w:val="24"/>
        </w:rPr>
        <w:t>朱維鵬博士</w:t>
      </w:r>
      <w:r>
        <w:rPr>
          <w:rFonts w:hint="eastAsia" w:ascii="新細明體" w:hAnsi="新細明體"/>
          <w:b/>
          <w:bCs/>
          <w:sz w:val="24"/>
          <w:szCs w:val="24"/>
          <w:lang w:eastAsia="zh-TW"/>
        </w:rPr>
        <w:t>（</w:t>
      </w:r>
      <w:r>
        <w:rPr>
          <w:rFonts w:ascii="新細明體" w:hAnsi="新細明體"/>
          <w:b/>
          <w:bCs/>
          <w:sz w:val="24"/>
          <w:szCs w:val="24"/>
        </w:rPr>
        <w:t xml:space="preserve">Chester Chu) </w:t>
      </w:r>
    </w:p>
    <w:p w14:paraId="407584F0">
      <w:pPr>
        <w:tabs>
          <w:tab w:val="left" w:pos="851"/>
        </w:tabs>
        <w:spacing w:after="0" w:line="240" w:lineRule="auto"/>
        <w:jc w:val="center"/>
        <w:rPr>
          <w:rFonts w:ascii="新細明體" w:hAnsi="新細明體"/>
          <w:sz w:val="24"/>
          <w:szCs w:val="24"/>
        </w:rPr>
      </w:pPr>
      <w:r>
        <w:rPr>
          <w:rFonts w:ascii="新細明體" w:hAnsi="新細明體"/>
          <w:sz w:val="24"/>
          <w:szCs w:val="24"/>
        </w:rPr>
        <w:t>President of The Hong Kong Association of Financial Advisors Limited</w:t>
      </w:r>
    </w:p>
    <w:p w14:paraId="43AC8A21">
      <w:pPr>
        <w:tabs>
          <w:tab w:val="left" w:pos="851"/>
        </w:tabs>
        <w:spacing w:after="0" w:line="240" w:lineRule="auto"/>
        <w:jc w:val="center"/>
        <w:rPr>
          <w:rFonts w:ascii="新細明體" w:hAnsi="新細明體"/>
          <w:sz w:val="24"/>
          <w:szCs w:val="24"/>
        </w:rPr>
      </w:pPr>
      <w:r>
        <w:rPr>
          <w:rFonts w:ascii="新細明體" w:hAnsi="新細明體"/>
          <w:sz w:val="24"/>
          <w:szCs w:val="24"/>
        </w:rPr>
        <w:t>Member of Dashun Foundation Think Tank</w:t>
      </w:r>
    </w:p>
    <w:p w14:paraId="0E673C96">
      <w:pPr>
        <w:tabs>
          <w:tab w:val="left" w:pos="851"/>
        </w:tabs>
        <w:spacing w:after="0" w:line="240" w:lineRule="auto"/>
        <w:jc w:val="center"/>
        <w:rPr>
          <w:rFonts w:ascii="新細明體" w:hAnsi="新細明體"/>
          <w:sz w:val="24"/>
          <w:szCs w:val="24"/>
        </w:rPr>
      </w:pPr>
      <w:r>
        <w:rPr>
          <w:rFonts w:ascii="新細明體" w:hAnsi="新細明體"/>
          <w:sz w:val="24"/>
          <w:szCs w:val="24"/>
        </w:rPr>
        <w:t>Chief Executive Officer of Fruit Tree Group</w:t>
      </w:r>
    </w:p>
    <w:p w14:paraId="25B1BB0D">
      <w:pPr>
        <w:tabs>
          <w:tab w:val="left" w:pos="851"/>
        </w:tabs>
        <w:spacing w:after="0" w:line="240" w:lineRule="auto"/>
        <w:jc w:val="center"/>
        <w:rPr>
          <w:rFonts w:ascii="新細明體" w:hAnsi="新細明體"/>
          <w:sz w:val="24"/>
          <w:szCs w:val="24"/>
        </w:rPr>
      </w:pPr>
      <w:r>
        <w:rPr>
          <w:rFonts w:ascii="新細明體" w:hAnsi="新細明體"/>
          <w:sz w:val="24"/>
          <w:szCs w:val="24"/>
        </w:rPr>
        <w:t>FIPA, FFA, FHKFA, FHKIoD, CMA, MBA, HKRFP, MHKA, MHKSI</w:t>
      </w:r>
    </w:p>
    <w:p w14:paraId="668B4785">
      <w:pPr>
        <w:tabs>
          <w:tab w:val="left" w:pos="851"/>
        </w:tabs>
        <w:spacing w:after="0" w:line="240" w:lineRule="auto"/>
        <w:jc w:val="center"/>
        <w:rPr>
          <w:rFonts w:ascii="新細明體" w:hAnsi="新細明體"/>
          <w:sz w:val="24"/>
          <w:szCs w:val="24"/>
        </w:rPr>
      </w:pPr>
    </w:p>
    <w:p w14:paraId="2825A104">
      <w:pPr>
        <w:tabs>
          <w:tab w:val="left" w:pos="851"/>
        </w:tabs>
        <w:spacing w:after="0" w:line="240" w:lineRule="auto"/>
        <w:jc w:val="center"/>
        <w:rPr>
          <w:rFonts w:ascii="新細明體" w:hAnsi="新細明體"/>
          <w:sz w:val="24"/>
          <w:szCs w:val="24"/>
        </w:rPr>
      </w:pPr>
    </w:p>
    <w:p w14:paraId="5A55A057">
      <w:pPr>
        <w:tabs>
          <w:tab w:val="left" w:pos="851"/>
        </w:tabs>
        <w:spacing w:after="0" w:line="240" w:lineRule="auto"/>
        <w:jc w:val="center"/>
        <w:rPr>
          <w:rFonts w:ascii="新細明體" w:hAnsi="新細明體"/>
          <w:sz w:val="24"/>
          <w:szCs w:val="24"/>
        </w:rPr>
      </w:pPr>
    </w:p>
    <w:p w14:paraId="508C12D5">
      <w:pPr>
        <w:tabs>
          <w:tab w:val="left" w:pos="851"/>
        </w:tabs>
        <w:spacing w:after="0" w:line="240" w:lineRule="auto"/>
        <w:jc w:val="center"/>
        <w:rPr>
          <w:rFonts w:ascii="新細明體" w:hAnsi="新細明體"/>
          <w:sz w:val="24"/>
          <w:szCs w:val="24"/>
        </w:rPr>
      </w:pPr>
    </w:p>
    <w:p w14:paraId="2E03F8F8">
      <w:pPr>
        <w:tabs>
          <w:tab w:val="left" w:pos="851"/>
        </w:tabs>
        <w:spacing w:after="0" w:line="240" w:lineRule="auto"/>
        <w:jc w:val="center"/>
        <w:rPr>
          <w:rFonts w:ascii="新細明體" w:hAnsi="新細明體"/>
          <w:sz w:val="24"/>
          <w:szCs w:val="24"/>
        </w:rPr>
      </w:pPr>
    </w:p>
    <w:p w14:paraId="7F039D01">
      <w:pPr>
        <w:tabs>
          <w:tab w:val="left" w:pos="851"/>
        </w:tabs>
        <w:spacing w:after="0" w:line="240" w:lineRule="auto"/>
        <w:jc w:val="center"/>
        <w:rPr>
          <w:rFonts w:ascii="新細明體" w:hAnsi="新細明體"/>
          <w:sz w:val="24"/>
          <w:szCs w:val="24"/>
        </w:rPr>
      </w:pPr>
    </w:p>
    <w:p w14:paraId="67B49D38">
      <w:pPr>
        <w:tabs>
          <w:tab w:val="left" w:pos="851"/>
        </w:tabs>
        <w:spacing w:after="0" w:line="240" w:lineRule="auto"/>
        <w:jc w:val="center"/>
        <w:rPr>
          <w:rFonts w:ascii="新細明體" w:hAnsi="新細明體"/>
          <w:sz w:val="24"/>
          <w:szCs w:val="24"/>
        </w:rPr>
      </w:pPr>
    </w:p>
    <w:p w14:paraId="1FF49A68">
      <w:pPr>
        <w:tabs>
          <w:tab w:val="left" w:pos="851"/>
        </w:tabs>
        <w:spacing w:after="0" w:line="240" w:lineRule="auto"/>
        <w:jc w:val="center"/>
        <w:rPr>
          <w:rFonts w:ascii="新細明體" w:hAnsi="新細明體"/>
          <w:sz w:val="24"/>
          <w:szCs w:val="24"/>
        </w:rPr>
      </w:pPr>
    </w:p>
    <w:p w14:paraId="0E836DBA">
      <w:pPr>
        <w:spacing w:after="0" w:line="240" w:lineRule="auto"/>
        <w:jc w:val="right"/>
        <w:rPr>
          <w:rFonts w:ascii="新細明體" w:hAnsi="新細明體"/>
          <w:sz w:val="24"/>
          <w:szCs w:val="24"/>
        </w:rPr>
      </w:pPr>
    </w:p>
    <w:p w14:paraId="38207D86">
      <w:pPr>
        <w:widowControl/>
        <w:spacing w:line="240" w:lineRule="auto"/>
        <w:rPr>
          <w:rFonts w:ascii="新細明體" w:hAnsi="新細明體"/>
          <w:sz w:val="24"/>
          <w:szCs w:val="24"/>
        </w:rPr>
      </w:pPr>
    </w:p>
    <w:p w14:paraId="19E61D44">
      <w:pPr>
        <w:widowControl/>
        <w:spacing w:line="240" w:lineRule="auto"/>
        <w:rPr>
          <w:rFonts w:ascii="新細明體" w:hAnsi="新細明體"/>
          <w:sz w:val="24"/>
          <w:szCs w:val="24"/>
        </w:rPr>
      </w:pPr>
    </w:p>
    <w:p w14:paraId="55A57F8C">
      <w:pPr>
        <w:widowControl/>
        <w:spacing w:line="240" w:lineRule="auto"/>
        <w:rPr>
          <w:rFonts w:ascii="新細明體" w:hAnsi="新細明體"/>
          <w:sz w:val="24"/>
          <w:szCs w:val="24"/>
        </w:rPr>
      </w:pPr>
    </w:p>
    <w:p w14:paraId="2C552BEA">
      <w:pPr>
        <w:widowControl/>
        <w:spacing w:line="240" w:lineRule="auto"/>
        <w:jc w:val="center"/>
        <w:rPr>
          <w:rFonts w:ascii="新細明體" w:hAnsi="新細明體"/>
          <w:sz w:val="24"/>
          <w:szCs w:val="24"/>
        </w:rPr>
      </w:pPr>
      <w:r>
        <w:rPr>
          <w:rFonts w:ascii="新細明體" w:hAnsi="新細明體"/>
          <w:sz w:val="24"/>
          <w:szCs w:val="24"/>
        </w:rPr>
        <w:t>20 February 2020</w:t>
      </w:r>
    </w:p>
    <w:p w14:paraId="6D02B667">
      <w:pPr>
        <w:widowControl/>
        <w:spacing w:line="240" w:lineRule="auto"/>
        <w:rPr>
          <w:rFonts w:ascii="新細明體" w:hAnsi="新細明體"/>
          <w:sz w:val="24"/>
          <w:szCs w:val="24"/>
        </w:rPr>
      </w:pPr>
    </w:p>
    <w:p w14:paraId="0D4BE09D">
      <w:pPr>
        <w:widowControl/>
        <w:spacing w:line="240" w:lineRule="auto"/>
        <w:rPr>
          <w:rFonts w:ascii="新細明體" w:hAnsi="新細明體"/>
          <w:sz w:val="24"/>
          <w:szCs w:val="24"/>
        </w:rPr>
      </w:pPr>
    </w:p>
    <w:p w14:paraId="04049065">
      <w:pPr>
        <w:widowControl/>
        <w:spacing w:line="240" w:lineRule="auto"/>
        <w:jc w:val="right"/>
        <w:rPr>
          <w:rFonts w:ascii="新細明體" w:hAnsi="新細明體"/>
          <w:sz w:val="24"/>
          <w:szCs w:val="24"/>
          <w:lang w:eastAsia="zh-TW"/>
        </w:rPr>
      </w:pPr>
      <w:r>
        <w:rPr>
          <w:rFonts w:hint="eastAsia" w:ascii="新細明體" w:hAnsi="新細明體"/>
          <w:sz w:val="24"/>
          <w:szCs w:val="24"/>
        </w:rPr>
        <w:t>字數：</w:t>
      </w:r>
      <w:r>
        <w:rPr>
          <w:rFonts w:ascii="新細明體" w:hAnsi="新細明體"/>
          <w:sz w:val="24"/>
          <w:szCs w:val="24"/>
          <w:lang w:eastAsia="zh-TW"/>
        </w:rPr>
        <w:t>10,702</w:t>
      </w:r>
    </w:p>
    <w:p w14:paraId="23ED3DEF">
      <w:pPr>
        <w:widowControl/>
        <w:spacing w:line="240" w:lineRule="auto"/>
        <w:jc w:val="right"/>
        <w:rPr>
          <w:rFonts w:ascii="新細明體" w:hAnsi="新細明體"/>
          <w:sz w:val="24"/>
          <w:szCs w:val="24"/>
          <w:lang w:eastAsia="zh-TW"/>
        </w:rPr>
      </w:pPr>
    </w:p>
    <w:p w14:paraId="00FBE612">
      <w:pPr>
        <w:widowControl/>
        <w:spacing w:line="240" w:lineRule="auto"/>
        <w:rPr>
          <w:rFonts w:ascii="新細明體" w:hAnsi="新細明體"/>
          <w:sz w:val="24"/>
          <w:szCs w:val="24"/>
        </w:rPr>
      </w:pPr>
    </w:p>
    <w:p w14:paraId="68B3ED80">
      <w:pPr>
        <w:widowControl/>
        <w:spacing w:line="240" w:lineRule="auto"/>
        <w:rPr>
          <w:rFonts w:ascii="新細明體" w:hAnsi="新細明體"/>
          <w:sz w:val="24"/>
          <w:szCs w:val="24"/>
        </w:rPr>
      </w:pPr>
    </w:p>
    <w:p w14:paraId="1AC537BF">
      <w:pPr>
        <w:widowControl/>
        <w:spacing w:line="240" w:lineRule="auto"/>
        <w:rPr>
          <w:rFonts w:ascii="新細明體" w:hAnsi="新細明體"/>
          <w:sz w:val="24"/>
          <w:szCs w:val="24"/>
        </w:rPr>
      </w:pPr>
      <w:r>
        <w:rPr>
          <w:rFonts w:ascii="新細明體" w:hAnsi="新細明體"/>
          <w:sz w:val="24"/>
          <w:szCs w:val="24"/>
        </w:rPr>
        <w:drawing>
          <wp:inline distT="0" distB="0" distL="0" distR="0">
            <wp:extent cx="6096635" cy="3429000"/>
            <wp:effectExtent l="0" t="0" r="146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096635" cy="3429000"/>
                    </a:xfrm>
                    <a:prstGeom prst="rect">
                      <a:avLst/>
                    </a:prstGeom>
                    <a:noFill/>
                  </pic:spPr>
                </pic:pic>
              </a:graphicData>
            </a:graphic>
          </wp:inline>
        </w:drawing>
      </w:r>
    </w:p>
    <w:p w14:paraId="45062F7B">
      <w:pPr>
        <w:widowControl/>
        <w:spacing w:line="240" w:lineRule="auto"/>
        <w:rPr>
          <w:rFonts w:ascii="新細明體" w:hAnsi="新細明體"/>
          <w:sz w:val="24"/>
          <w:szCs w:val="24"/>
        </w:rPr>
      </w:pPr>
    </w:p>
    <w:p w14:paraId="423FBD96">
      <w:pPr>
        <w:widowControl/>
        <w:spacing w:line="240" w:lineRule="auto"/>
        <w:jc w:val="both"/>
        <w:rPr>
          <w:rFonts w:ascii="新細明體" w:hAnsi="新細明體"/>
          <w:sz w:val="24"/>
          <w:szCs w:val="24"/>
        </w:rPr>
      </w:pPr>
      <w:r>
        <w:rPr>
          <w:rFonts w:hint="eastAsia" w:ascii="新細明體" w:hAnsi="新細明體"/>
          <w:sz w:val="24"/>
          <w:szCs w:val="24"/>
        </w:rPr>
        <w:t>朱維鵬博士為果樹集團的創辦人，業務橫跨香港、橫琴和澳門。也是果樹證券之首席執行官，負責集團的市場推廣和國際股票業務發展。自1995年，朱先生已是證監會註冊證券商、投資、融資業務顧問的持牌負責人。</w:t>
      </w:r>
    </w:p>
    <w:p w14:paraId="2258F58A">
      <w:pPr>
        <w:widowControl/>
        <w:spacing w:line="240" w:lineRule="auto"/>
        <w:jc w:val="both"/>
        <w:rPr>
          <w:rFonts w:ascii="新細明體" w:hAnsi="新細明體"/>
          <w:sz w:val="24"/>
          <w:szCs w:val="24"/>
        </w:rPr>
      </w:pPr>
      <w:r>
        <w:rPr>
          <w:rFonts w:hint="eastAsia" w:ascii="新細明體" w:hAnsi="新細明體"/>
          <w:sz w:val="24"/>
          <w:szCs w:val="24"/>
        </w:rPr>
        <w:t>朱先生是香港財務顧問協會會長、註冊財務策劃協會和促進現代化專業人士協會副會長。在2017-2019年間，也是澳洲管理會計師公會的公司上市及並購委員會副會長。他曾是香港證券及期貨專業總會的理事，也是現任的顧問。</w:t>
      </w:r>
    </w:p>
    <w:p w14:paraId="49D08500">
      <w:pPr>
        <w:widowControl/>
        <w:spacing w:line="240" w:lineRule="auto"/>
        <w:jc w:val="both"/>
        <w:rPr>
          <w:rFonts w:ascii="新細明體" w:hAnsi="新細明體"/>
          <w:sz w:val="24"/>
          <w:szCs w:val="24"/>
        </w:rPr>
      </w:pPr>
      <w:r>
        <w:rPr>
          <w:rFonts w:hint="eastAsia" w:ascii="新細明體" w:hAnsi="新細明體"/>
          <w:sz w:val="24"/>
          <w:szCs w:val="24"/>
        </w:rPr>
        <w:t>於1</w:t>
      </w:r>
      <w:r>
        <w:rPr>
          <w:rFonts w:ascii="新細明體" w:hAnsi="新細明體"/>
          <w:sz w:val="24"/>
          <w:szCs w:val="24"/>
        </w:rPr>
        <w:t>995</w:t>
      </w:r>
      <w:r>
        <w:rPr>
          <w:rFonts w:hint="eastAsia" w:ascii="新細明體" w:hAnsi="新細明體"/>
          <w:sz w:val="24"/>
          <w:szCs w:val="24"/>
        </w:rPr>
        <w:t>年，他已代表他所管理的證券公司於上海證券交易所成功取得B股交易席位，開始中國B股買賣。朱先生於1</w:t>
      </w:r>
      <w:r>
        <w:rPr>
          <w:rFonts w:ascii="新細明體" w:hAnsi="新細明體"/>
          <w:sz w:val="24"/>
          <w:szCs w:val="24"/>
        </w:rPr>
        <w:t>996</w:t>
      </w:r>
      <w:r>
        <w:rPr>
          <w:rFonts w:hint="eastAsia" w:ascii="新細明體" w:hAnsi="新細明體"/>
          <w:sz w:val="24"/>
          <w:szCs w:val="24"/>
        </w:rPr>
        <w:t>年成功進行管理層收購台資太丰行證券，改名為英明證券，協辦聯交所上市的公司超過二十餘間。於1</w:t>
      </w:r>
      <w:r>
        <w:rPr>
          <w:rFonts w:ascii="新細明體" w:hAnsi="新細明體"/>
          <w:sz w:val="24"/>
          <w:szCs w:val="24"/>
        </w:rPr>
        <w:t>999</w:t>
      </w:r>
      <w:r>
        <w:rPr>
          <w:rFonts w:hint="eastAsia" w:ascii="新細明體" w:hAnsi="新細明體"/>
          <w:sz w:val="24"/>
          <w:szCs w:val="24"/>
        </w:rPr>
        <w:t>年至2</w:t>
      </w:r>
      <w:r>
        <w:rPr>
          <w:rFonts w:ascii="新細明體" w:hAnsi="新細明體"/>
          <w:sz w:val="24"/>
          <w:szCs w:val="24"/>
        </w:rPr>
        <w:t>000</w:t>
      </w:r>
      <w:r>
        <w:rPr>
          <w:rFonts w:hint="eastAsia" w:ascii="新細明體" w:hAnsi="新細明體"/>
          <w:sz w:val="24"/>
          <w:szCs w:val="24"/>
        </w:rPr>
        <w:t>年間，朱先生為香證券及期貨市場改革關注小組成員，對香港聯合交易所和期貨交易所的合併和上市，作出巨大的努力和貢獻。</w:t>
      </w:r>
    </w:p>
    <w:p w14:paraId="6CBC20DC">
      <w:pPr>
        <w:widowControl/>
        <w:spacing w:line="240" w:lineRule="auto"/>
        <w:jc w:val="both"/>
        <w:rPr>
          <w:rFonts w:ascii="新細明體" w:hAnsi="新細明體"/>
          <w:sz w:val="24"/>
          <w:szCs w:val="24"/>
        </w:rPr>
      </w:pPr>
      <w:r>
        <w:rPr>
          <w:rFonts w:hint="eastAsia" w:ascii="新細明體" w:hAnsi="新細明體"/>
          <w:sz w:val="24"/>
          <w:szCs w:val="24"/>
        </w:rPr>
        <w:t>積存在各地金融市場2</w:t>
      </w:r>
      <w:r>
        <w:rPr>
          <w:rFonts w:ascii="新細明體" w:hAnsi="新細明體"/>
          <w:sz w:val="24"/>
          <w:szCs w:val="24"/>
        </w:rPr>
        <w:t>5</w:t>
      </w:r>
      <w:r>
        <w:rPr>
          <w:rFonts w:hint="eastAsia" w:ascii="新細明體" w:hAnsi="新細明體"/>
          <w:sz w:val="24"/>
          <w:szCs w:val="24"/>
        </w:rPr>
        <w:t>年的經驗，朱先生參與的香港上市公司集資的活動不少，於2</w:t>
      </w:r>
      <w:r>
        <w:rPr>
          <w:rFonts w:ascii="新細明體" w:hAnsi="新細明體"/>
          <w:sz w:val="24"/>
          <w:szCs w:val="24"/>
        </w:rPr>
        <w:t>016</w:t>
      </w:r>
      <w:r>
        <w:rPr>
          <w:rFonts w:hint="eastAsia" w:ascii="新細明體" w:hAnsi="新細明體"/>
          <w:sz w:val="24"/>
          <w:szCs w:val="24"/>
        </w:rPr>
        <w:t>年成立果樹證券有限公司實踐其對本地證券行國際化的願景。</w:t>
      </w:r>
    </w:p>
    <w:p w14:paraId="14B0D5B8">
      <w:pPr>
        <w:widowControl/>
        <w:spacing w:line="240" w:lineRule="auto"/>
        <w:jc w:val="both"/>
        <w:rPr>
          <w:rFonts w:ascii="新細明體" w:hAnsi="新細明體"/>
          <w:sz w:val="24"/>
          <w:szCs w:val="24"/>
        </w:rPr>
      </w:pPr>
      <w:r>
        <w:rPr>
          <w:rFonts w:hint="eastAsia" w:ascii="新細明體" w:hAnsi="新細明體"/>
          <w:sz w:val="24"/>
          <w:szCs w:val="24"/>
        </w:rPr>
        <w:t>早於2</w:t>
      </w:r>
      <w:r>
        <w:rPr>
          <w:rFonts w:ascii="新細明體" w:hAnsi="新細明體"/>
          <w:sz w:val="24"/>
          <w:szCs w:val="24"/>
        </w:rPr>
        <w:t>015</w:t>
      </w:r>
      <w:r>
        <w:rPr>
          <w:rFonts w:hint="eastAsia" w:ascii="新細明體" w:hAnsi="新細明體"/>
          <w:sz w:val="24"/>
          <w:szCs w:val="24"/>
        </w:rPr>
        <w:t>年至2</w:t>
      </w:r>
      <w:r>
        <w:rPr>
          <w:rFonts w:ascii="新細明體" w:hAnsi="新細明體"/>
          <w:sz w:val="24"/>
          <w:szCs w:val="24"/>
        </w:rPr>
        <w:t>016</w:t>
      </w:r>
      <w:r>
        <w:rPr>
          <w:rFonts w:hint="eastAsia" w:ascii="新細明體" w:hAnsi="新細明體"/>
          <w:sz w:val="24"/>
          <w:szCs w:val="24"/>
        </w:rPr>
        <w:t>年已有數十篇通俗性文章以筆名「英明朱」的「真情流露」標題，經網媒「經濟通」發佈，近期則與友好學會和智囊團，以研究論文形式遞交相關政府部門，傳媒和刊登於「中外要聞」和舉辦講座等，題目有：香港證券業「全球化」的研究、F</w:t>
      </w:r>
      <w:r>
        <w:rPr>
          <w:rFonts w:ascii="新細明體" w:hAnsi="新細明體"/>
          <w:sz w:val="24"/>
          <w:szCs w:val="24"/>
        </w:rPr>
        <w:t xml:space="preserve">inTech </w:t>
      </w:r>
      <w:r>
        <w:rPr>
          <w:rFonts w:hint="eastAsia" w:ascii="新細明體" w:hAnsi="新細明體"/>
          <w:sz w:val="24"/>
          <w:szCs w:val="24"/>
        </w:rPr>
        <w:t>對金融界的衝擊、改變世界、超越未來的趨勢、獨角獸的陰暗面、疑似獨角獸的企業、2</w:t>
      </w:r>
      <w:r>
        <w:rPr>
          <w:rFonts w:ascii="新細明體" w:hAnsi="新細明體"/>
          <w:sz w:val="24"/>
          <w:szCs w:val="24"/>
        </w:rPr>
        <w:t>1</w:t>
      </w:r>
      <w:r>
        <w:rPr>
          <w:rFonts w:hint="eastAsia" w:ascii="新細明體" w:hAnsi="新細明體"/>
          <w:sz w:val="24"/>
          <w:szCs w:val="24"/>
        </w:rPr>
        <w:t>世紀的「破窗效應」與「修補破窗」等。</w:t>
      </w:r>
    </w:p>
    <w:p w14:paraId="0B7B8B0D">
      <w:pPr>
        <w:widowControl/>
        <w:rPr>
          <w:rFonts w:ascii="新細明體" w:hAnsi="新細明體"/>
          <w:sz w:val="24"/>
          <w:szCs w:val="24"/>
        </w:rPr>
      </w:pPr>
      <w:r>
        <w:rPr>
          <w:rFonts w:ascii="新細明體" w:hAnsi="新細明體"/>
          <w:sz w:val="24"/>
          <w:szCs w:val="24"/>
        </w:rPr>
        <w:br w:type="page"/>
      </w:r>
    </w:p>
    <w:p w14:paraId="0B480017">
      <w:pPr>
        <w:widowControl/>
        <w:spacing w:line="240" w:lineRule="auto"/>
        <w:rPr>
          <w:rFonts w:ascii="新細明體" w:hAnsi="新細明體"/>
          <w:sz w:val="24"/>
          <w:szCs w:val="24"/>
        </w:rPr>
      </w:pPr>
    </w:p>
    <w:sdt>
      <w:sdtPr>
        <w:rPr>
          <w:rFonts w:ascii="新細明體" w:hAnsi="新細明體" w:eastAsia="新細明體" w:cs="Times New Roman"/>
          <w:color w:val="auto"/>
          <w:sz w:val="24"/>
          <w:szCs w:val="24"/>
          <w:lang w:val="zh-TW" w:eastAsia="zh-TW"/>
        </w:rPr>
        <w:id w:val="-2003266735"/>
        <w:docPartObj>
          <w:docPartGallery w:val="Table of Contents"/>
          <w:docPartUnique/>
        </w:docPartObj>
      </w:sdtPr>
      <w:sdtEndPr>
        <w:rPr>
          <w:rFonts w:ascii="新細明體" w:hAnsi="新細明體" w:eastAsia="新細明體" w:cs="Times New Roman"/>
          <w:b/>
          <w:bCs/>
          <w:color w:val="auto"/>
          <w:sz w:val="24"/>
          <w:szCs w:val="24"/>
          <w:lang w:val="zh-TW" w:eastAsia="zh-TW"/>
        </w:rPr>
      </w:sdtEndPr>
      <w:sdtContent>
        <w:p w14:paraId="78FF38BA">
          <w:pPr>
            <w:pStyle w:val="29"/>
            <w:spacing w:line="240" w:lineRule="auto"/>
            <w:jc w:val="center"/>
            <w:rPr>
              <w:rFonts w:ascii="新細明體" w:hAnsi="新細明體" w:eastAsia="新細明體"/>
              <w:b/>
              <w:bCs/>
              <w:sz w:val="24"/>
              <w:szCs w:val="24"/>
            </w:rPr>
          </w:pPr>
          <w:r>
            <w:rPr>
              <w:rFonts w:ascii="新細明體" w:hAnsi="新細明體" w:eastAsia="新細明體"/>
              <w:b/>
              <w:bCs/>
              <w:sz w:val="24"/>
              <w:szCs w:val="24"/>
              <w:lang w:val="zh-TW" w:eastAsia="zh-TW"/>
            </w:rPr>
            <w:t>內容</w:t>
          </w:r>
        </w:p>
        <w:p w14:paraId="5B8C1B15">
          <w:pPr>
            <w:pStyle w:val="16"/>
            <w:tabs>
              <w:tab w:val="right" w:leader="dot" w:pos="9016"/>
            </w:tabs>
            <w:rPr>
              <w:rFonts w:eastAsia="SimSun" w:hAnsiTheme="minorHAnsi" w:cstheme="minorBidi"/>
              <w:lang w:eastAsia="zh-CN"/>
            </w:rPr>
          </w:pPr>
          <w:r>
            <w:rPr>
              <w:rFonts w:ascii="新細明體" w:hAnsi="新細明體"/>
              <w:sz w:val="24"/>
              <w:szCs w:val="24"/>
            </w:rPr>
            <w:fldChar w:fldCharType="begin"/>
          </w:r>
          <w:r>
            <w:rPr>
              <w:rFonts w:ascii="新細明體" w:hAnsi="新細明體"/>
              <w:sz w:val="24"/>
              <w:szCs w:val="24"/>
            </w:rPr>
            <w:instrText xml:space="preserve"> TOC \o "1-3" \h \z \u </w:instrText>
          </w:r>
          <w:r>
            <w:rPr>
              <w:rFonts w:ascii="新細明體" w:hAnsi="新細明體"/>
              <w:sz w:val="24"/>
              <w:szCs w:val="24"/>
            </w:rPr>
            <w:fldChar w:fldCharType="separate"/>
          </w:r>
          <w:r>
            <w:fldChar w:fldCharType="begin"/>
          </w:r>
          <w:r>
            <w:instrText xml:space="preserve"> HYPERLINK \l "_Toc27054977" </w:instrText>
          </w:r>
          <w:r>
            <w:fldChar w:fldCharType="separate"/>
          </w:r>
          <w:r>
            <w:rPr>
              <w:rStyle w:val="13"/>
              <w:rFonts w:hint="eastAsia" w:ascii="新細明體" w:hAnsi="新細明體"/>
            </w:rPr>
            <w:t>摘</w:t>
          </w:r>
          <w:r>
            <w:rPr>
              <w:rStyle w:val="13"/>
              <w:rFonts w:ascii="新細明體" w:hAnsi="新細明體"/>
            </w:rPr>
            <w:t xml:space="preserve">  </w:t>
          </w:r>
          <w:r>
            <w:rPr>
              <w:rStyle w:val="13"/>
              <w:rFonts w:hint="eastAsia" w:ascii="新細明體" w:hAnsi="新細明體"/>
            </w:rPr>
            <w:t>要</w:t>
          </w:r>
          <w:r>
            <w:tab/>
          </w:r>
          <w:r>
            <w:fldChar w:fldCharType="begin"/>
          </w:r>
          <w:r>
            <w:instrText xml:space="preserve"> PAGEREF _Toc27054977 \h </w:instrText>
          </w:r>
          <w:r>
            <w:fldChar w:fldCharType="separate"/>
          </w:r>
          <w:r>
            <w:t>4</w:t>
          </w:r>
          <w:r>
            <w:fldChar w:fldCharType="end"/>
          </w:r>
          <w:r>
            <w:fldChar w:fldCharType="end"/>
          </w:r>
        </w:p>
        <w:p w14:paraId="28F7CACC">
          <w:pPr>
            <w:pStyle w:val="16"/>
            <w:tabs>
              <w:tab w:val="right" w:leader="dot" w:pos="9016"/>
            </w:tabs>
            <w:rPr>
              <w:rFonts w:eastAsia="SimSun" w:hAnsiTheme="minorHAnsi" w:cstheme="minorBidi"/>
              <w:lang w:eastAsia="zh-CN"/>
            </w:rPr>
          </w:pPr>
          <w:r>
            <w:fldChar w:fldCharType="begin"/>
          </w:r>
          <w:r>
            <w:instrText xml:space="preserve"> HYPERLINK \l "_Toc27054978" </w:instrText>
          </w:r>
          <w:r>
            <w:fldChar w:fldCharType="separate"/>
          </w:r>
          <w:r>
            <w:rPr>
              <w:rStyle w:val="13"/>
              <w:rFonts w:hint="eastAsia" w:ascii="新細明體" w:hAnsi="新細明體"/>
            </w:rPr>
            <w:t>引言</w:t>
          </w:r>
          <w:r>
            <w:tab/>
          </w:r>
          <w:r>
            <w:fldChar w:fldCharType="begin"/>
          </w:r>
          <w:r>
            <w:instrText xml:space="preserve"> PAGEREF _Toc27054978 \h </w:instrText>
          </w:r>
          <w:r>
            <w:fldChar w:fldCharType="separate"/>
          </w:r>
          <w:r>
            <w:t>5</w:t>
          </w:r>
          <w:r>
            <w:fldChar w:fldCharType="end"/>
          </w:r>
          <w:r>
            <w:fldChar w:fldCharType="end"/>
          </w:r>
        </w:p>
        <w:p w14:paraId="452BC99A">
          <w:pPr>
            <w:pStyle w:val="16"/>
            <w:tabs>
              <w:tab w:val="right" w:leader="dot" w:pos="9016"/>
            </w:tabs>
            <w:rPr>
              <w:rFonts w:eastAsia="SimSun" w:hAnsiTheme="minorHAnsi" w:cstheme="minorBidi"/>
              <w:lang w:eastAsia="zh-CN"/>
            </w:rPr>
          </w:pPr>
          <w:r>
            <w:fldChar w:fldCharType="begin"/>
          </w:r>
          <w:r>
            <w:instrText xml:space="preserve"> HYPERLINK \l "_Toc27054979" </w:instrText>
          </w:r>
          <w:r>
            <w:fldChar w:fldCharType="separate"/>
          </w:r>
          <w:r>
            <w:rPr>
              <w:rStyle w:val="13"/>
              <w:rFonts w:hint="eastAsia"/>
            </w:rPr>
            <w:t>研究目的</w:t>
          </w:r>
          <w:r>
            <w:tab/>
          </w:r>
          <w:r>
            <w:fldChar w:fldCharType="begin"/>
          </w:r>
          <w:r>
            <w:instrText xml:space="preserve"> PAGEREF _Toc27054979 \h </w:instrText>
          </w:r>
          <w:r>
            <w:fldChar w:fldCharType="separate"/>
          </w:r>
          <w:r>
            <w:t>6</w:t>
          </w:r>
          <w:r>
            <w:fldChar w:fldCharType="end"/>
          </w:r>
          <w:r>
            <w:fldChar w:fldCharType="end"/>
          </w:r>
        </w:p>
        <w:p w14:paraId="3BE1FC73">
          <w:pPr>
            <w:pStyle w:val="16"/>
            <w:tabs>
              <w:tab w:val="right" w:leader="dot" w:pos="9016"/>
            </w:tabs>
            <w:rPr>
              <w:rFonts w:eastAsia="SimSun" w:hAnsiTheme="minorHAnsi" w:cstheme="minorBidi"/>
              <w:lang w:eastAsia="zh-CN"/>
            </w:rPr>
          </w:pPr>
          <w:r>
            <w:fldChar w:fldCharType="begin"/>
          </w:r>
          <w:r>
            <w:instrText xml:space="preserve"> HYPERLINK \l "_Toc27054980" </w:instrText>
          </w:r>
          <w:r>
            <w:fldChar w:fldCharType="separate"/>
          </w:r>
          <w:r>
            <w:rPr>
              <w:rStyle w:val="13"/>
              <w:rFonts w:hint="eastAsia"/>
            </w:rPr>
            <w:t>研究</w:t>
          </w:r>
          <w:r>
            <w:rPr>
              <w:rStyle w:val="13"/>
              <w:rFonts w:hint="eastAsia"/>
              <w:lang w:eastAsia="zh-TW"/>
            </w:rPr>
            <w:t>方法</w:t>
          </w:r>
          <w:r>
            <w:tab/>
          </w:r>
          <w:r>
            <w:fldChar w:fldCharType="begin"/>
          </w:r>
          <w:r>
            <w:instrText xml:space="preserve"> PAGEREF _Toc27054980 \h </w:instrText>
          </w:r>
          <w:r>
            <w:fldChar w:fldCharType="separate"/>
          </w:r>
          <w:r>
            <w:t>6</w:t>
          </w:r>
          <w:r>
            <w:fldChar w:fldCharType="end"/>
          </w:r>
          <w:r>
            <w:fldChar w:fldCharType="end"/>
          </w:r>
        </w:p>
        <w:p w14:paraId="679EAA02">
          <w:pPr>
            <w:pStyle w:val="16"/>
            <w:tabs>
              <w:tab w:val="right" w:leader="dot" w:pos="9016"/>
            </w:tabs>
            <w:rPr>
              <w:rFonts w:eastAsia="SimSun" w:hAnsiTheme="minorHAnsi" w:cstheme="minorBidi"/>
              <w:lang w:eastAsia="zh-CN"/>
            </w:rPr>
          </w:pPr>
          <w:r>
            <w:fldChar w:fldCharType="begin"/>
          </w:r>
          <w:r>
            <w:instrText xml:space="preserve"> HYPERLINK \l "_Toc27054981" </w:instrText>
          </w:r>
          <w:r>
            <w:fldChar w:fldCharType="separate"/>
          </w:r>
          <w:r>
            <w:rPr>
              <w:rStyle w:val="13"/>
              <w:rFonts w:hint="eastAsia" w:ascii="新細明體" w:hAnsi="新細明體"/>
              <w:color w:val="auto"/>
            </w:rPr>
            <w:t>文獻回顧</w:t>
          </w:r>
          <w:r>
            <w:tab/>
          </w:r>
          <w:r>
            <w:fldChar w:fldCharType="begin"/>
          </w:r>
          <w:r>
            <w:instrText xml:space="preserve"> PAGEREF _Toc27054981 \h </w:instrText>
          </w:r>
          <w:r>
            <w:fldChar w:fldCharType="separate"/>
          </w:r>
          <w:r>
            <w:t>6</w:t>
          </w:r>
          <w:r>
            <w:fldChar w:fldCharType="end"/>
          </w:r>
          <w:r>
            <w:fldChar w:fldCharType="end"/>
          </w:r>
        </w:p>
        <w:p w14:paraId="4CECED96">
          <w:pPr>
            <w:pStyle w:val="16"/>
            <w:tabs>
              <w:tab w:val="right" w:leader="dot" w:pos="9016"/>
            </w:tabs>
            <w:rPr>
              <w:rFonts w:eastAsia="SimSun" w:hAnsiTheme="minorHAnsi" w:cstheme="minorBidi"/>
              <w:lang w:eastAsia="zh-CN"/>
            </w:rPr>
          </w:pPr>
          <w:r>
            <w:fldChar w:fldCharType="begin"/>
          </w:r>
          <w:r>
            <w:instrText xml:space="preserve"> HYPERLINK \l "_Toc27054982" </w:instrText>
          </w:r>
          <w:r>
            <w:fldChar w:fldCharType="separate"/>
          </w:r>
          <w:r>
            <w:rPr>
              <w:rStyle w:val="13"/>
              <w:rFonts w:hint="eastAsia" w:ascii="新細明體" w:hAnsi="新細明體"/>
            </w:rPr>
            <w:t>破窗效應理論</w:t>
          </w:r>
          <w:r>
            <w:rPr>
              <w:rStyle w:val="13"/>
              <w:rFonts w:ascii="新細明體" w:hAnsi="新細明體"/>
            </w:rPr>
            <w:t>(Broken Windows Theory)</w:t>
          </w:r>
          <w:r>
            <w:tab/>
          </w:r>
          <w:r>
            <w:fldChar w:fldCharType="begin"/>
          </w:r>
          <w:r>
            <w:instrText xml:space="preserve"> PAGEREF _Toc27054982 \h </w:instrText>
          </w:r>
          <w:r>
            <w:fldChar w:fldCharType="separate"/>
          </w:r>
          <w:r>
            <w:t>6</w:t>
          </w:r>
          <w:r>
            <w:fldChar w:fldCharType="end"/>
          </w:r>
          <w:r>
            <w:fldChar w:fldCharType="end"/>
          </w:r>
        </w:p>
        <w:p w14:paraId="38636BAF">
          <w:pPr>
            <w:pStyle w:val="17"/>
            <w:tabs>
              <w:tab w:val="right" w:leader="dot" w:pos="9016"/>
            </w:tabs>
            <w:rPr>
              <w:rFonts w:eastAsia="SimSun" w:hAnsiTheme="minorHAnsi" w:cstheme="minorBidi"/>
              <w:lang w:eastAsia="zh-CN"/>
            </w:rPr>
          </w:pPr>
          <w:r>
            <w:fldChar w:fldCharType="begin"/>
          </w:r>
          <w:r>
            <w:instrText xml:space="preserve"> HYPERLINK \l "_Toc27054983" </w:instrText>
          </w:r>
          <w:r>
            <w:fldChar w:fldCharType="separate"/>
          </w:r>
          <w:r>
            <w:rPr>
              <w:rStyle w:val="13"/>
              <w:rFonts w:hint="eastAsia" w:ascii="新細明體" w:hAnsi="新細明體"/>
            </w:rPr>
            <w:t>破窗效應的源頭</w:t>
          </w:r>
          <w:r>
            <w:tab/>
          </w:r>
          <w:r>
            <w:fldChar w:fldCharType="begin"/>
          </w:r>
          <w:r>
            <w:instrText xml:space="preserve"> PAGEREF _Toc27054983 \h </w:instrText>
          </w:r>
          <w:r>
            <w:fldChar w:fldCharType="separate"/>
          </w:r>
          <w:r>
            <w:t>6</w:t>
          </w:r>
          <w:r>
            <w:fldChar w:fldCharType="end"/>
          </w:r>
          <w:r>
            <w:fldChar w:fldCharType="end"/>
          </w:r>
        </w:p>
        <w:p w14:paraId="5926EA65">
          <w:pPr>
            <w:pStyle w:val="17"/>
            <w:tabs>
              <w:tab w:val="right" w:leader="dot" w:pos="9016"/>
            </w:tabs>
            <w:rPr>
              <w:rFonts w:eastAsia="SimSun" w:hAnsiTheme="minorHAnsi" w:cstheme="minorBidi"/>
              <w:lang w:eastAsia="zh-CN"/>
            </w:rPr>
          </w:pPr>
          <w:r>
            <w:fldChar w:fldCharType="begin"/>
          </w:r>
          <w:r>
            <w:instrText xml:space="preserve"> HYPERLINK \l "_Toc27054984" </w:instrText>
          </w:r>
          <w:r>
            <w:fldChar w:fldCharType="separate"/>
          </w:r>
          <w:r>
            <w:rPr>
              <w:rStyle w:val="13"/>
              <w:rFonts w:hint="eastAsia" w:ascii="新細明體" w:hAnsi="新細明體"/>
            </w:rPr>
            <w:t>破窗效應的理論和實例</w:t>
          </w:r>
          <w:r>
            <w:tab/>
          </w:r>
          <w:r>
            <w:fldChar w:fldCharType="begin"/>
          </w:r>
          <w:r>
            <w:instrText xml:space="preserve"> PAGEREF _Toc27054984 \h </w:instrText>
          </w:r>
          <w:r>
            <w:fldChar w:fldCharType="separate"/>
          </w:r>
          <w:r>
            <w:t>7</w:t>
          </w:r>
          <w:r>
            <w:fldChar w:fldCharType="end"/>
          </w:r>
          <w:r>
            <w:fldChar w:fldCharType="end"/>
          </w:r>
        </w:p>
        <w:p w14:paraId="44FB0C04">
          <w:pPr>
            <w:pStyle w:val="17"/>
            <w:tabs>
              <w:tab w:val="right" w:leader="dot" w:pos="9016"/>
            </w:tabs>
            <w:rPr>
              <w:rFonts w:eastAsia="SimSun" w:hAnsiTheme="minorHAnsi" w:cstheme="minorBidi"/>
              <w:lang w:eastAsia="zh-CN"/>
            </w:rPr>
          </w:pPr>
          <w:r>
            <w:fldChar w:fldCharType="begin"/>
          </w:r>
          <w:r>
            <w:instrText xml:space="preserve"> HYPERLINK \l "_Toc27054985" </w:instrText>
          </w:r>
          <w:r>
            <w:fldChar w:fldCharType="separate"/>
          </w:r>
          <w:r>
            <w:rPr>
              <w:rStyle w:val="13"/>
              <w:rFonts w:hint="eastAsia" w:ascii="新細明體" w:hAnsi="新細明體"/>
            </w:rPr>
            <w:t>破窗理論的普及和負面效果</w:t>
          </w:r>
          <w:r>
            <w:tab/>
          </w:r>
          <w:r>
            <w:fldChar w:fldCharType="begin"/>
          </w:r>
          <w:r>
            <w:instrText xml:space="preserve"> PAGEREF _Toc27054985 \h </w:instrText>
          </w:r>
          <w:r>
            <w:fldChar w:fldCharType="separate"/>
          </w:r>
          <w:r>
            <w:t>7</w:t>
          </w:r>
          <w:r>
            <w:fldChar w:fldCharType="end"/>
          </w:r>
          <w:r>
            <w:fldChar w:fldCharType="end"/>
          </w:r>
        </w:p>
        <w:p w14:paraId="6E08E1CC">
          <w:pPr>
            <w:pStyle w:val="17"/>
            <w:tabs>
              <w:tab w:val="right" w:leader="dot" w:pos="9016"/>
            </w:tabs>
            <w:rPr>
              <w:rFonts w:eastAsia="SimSun" w:hAnsiTheme="minorHAnsi" w:cstheme="minorBidi"/>
              <w:lang w:eastAsia="zh-CN"/>
            </w:rPr>
          </w:pPr>
          <w:r>
            <w:fldChar w:fldCharType="begin"/>
          </w:r>
          <w:r>
            <w:instrText xml:space="preserve"> HYPERLINK \l "_Toc27054986" </w:instrText>
          </w:r>
          <w:r>
            <w:fldChar w:fldCharType="separate"/>
          </w:r>
          <w:r>
            <w:rPr>
              <w:rStyle w:val="13"/>
              <w:rFonts w:hint="eastAsia" w:ascii="新細明體" w:hAnsi="新細明體"/>
            </w:rPr>
            <w:t>「路西法效應」</w:t>
          </w:r>
          <w:r>
            <w:rPr>
              <w:rStyle w:val="13"/>
              <w:rFonts w:ascii="新細明體" w:hAnsi="新細明體"/>
            </w:rPr>
            <w:t>(Lucifer Effect)</w:t>
          </w:r>
          <w:r>
            <w:tab/>
          </w:r>
          <w:r>
            <w:fldChar w:fldCharType="begin"/>
          </w:r>
          <w:r>
            <w:instrText xml:space="preserve"> PAGEREF _Toc27054986 \h </w:instrText>
          </w:r>
          <w:r>
            <w:fldChar w:fldCharType="separate"/>
          </w:r>
          <w:r>
            <w:t>7</w:t>
          </w:r>
          <w:r>
            <w:fldChar w:fldCharType="end"/>
          </w:r>
          <w:r>
            <w:fldChar w:fldCharType="end"/>
          </w:r>
        </w:p>
        <w:p w14:paraId="65CB41F9">
          <w:pPr>
            <w:pStyle w:val="17"/>
            <w:tabs>
              <w:tab w:val="right" w:leader="dot" w:pos="9016"/>
            </w:tabs>
            <w:rPr>
              <w:rFonts w:eastAsia="SimSun" w:hAnsiTheme="minorHAnsi" w:cstheme="minorBidi"/>
              <w:lang w:eastAsia="zh-CN"/>
            </w:rPr>
          </w:pPr>
          <w:r>
            <w:fldChar w:fldCharType="begin"/>
          </w:r>
          <w:r>
            <w:instrText xml:space="preserve"> HYPERLINK \l "_Toc27054987" </w:instrText>
          </w:r>
          <w:r>
            <w:fldChar w:fldCharType="separate"/>
          </w:r>
          <w:r>
            <w:rPr>
              <w:rStyle w:val="13"/>
              <w:rFonts w:hint="eastAsia" w:ascii="新細明體" w:hAnsi="新細明體"/>
            </w:rPr>
            <w:t>修補破窗（</w:t>
          </w:r>
          <w:r>
            <w:rPr>
              <w:rStyle w:val="13"/>
              <w:rFonts w:ascii="新細明體" w:hAnsi="新細明體"/>
            </w:rPr>
            <w:t>Fixing Broken Windows</w:t>
          </w:r>
          <w:r>
            <w:rPr>
              <w:rStyle w:val="13"/>
              <w:rFonts w:hint="eastAsia" w:ascii="新細明體" w:hAnsi="新細明體"/>
            </w:rPr>
            <w:t>）理論</w:t>
          </w:r>
          <w:r>
            <w:tab/>
          </w:r>
          <w:r>
            <w:fldChar w:fldCharType="begin"/>
          </w:r>
          <w:r>
            <w:instrText xml:space="preserve"> PAGEREF _Toc27054987 \h </w:instrText>
          </w:r>
          <w:r>
            <w:fldChar w:fldCharType="separate"/>
          </w:r>
          <w:r>
            <w:t>8</w:t>
          </w:r>
          <w:r>
            <w:fldChar w:fldCharType="end"/>
          </w:r>
          <w:r>
            <w:fldChar w:fldCharType="end"/>
          </w:r>
        </w:p>
        <w:p w14:paraId="41AED8D4">
          <w:pPr>
            <w:pStyle w:val="16"/>
            <w:tabs>
              <w:tab w:val="right" w:leader="dot" w:pos="9016"/>
            </w:tabs>
            <w:rPr>
              <w:rFonts w:eastAsia="SimSun" w:hAnsiTheme="minorHAnsi" w:cstheme="minorBidi"/>
              <w:lang w:eastAsia="zh-CN"/>
            </w:rPr>
          </w:pPr>
          <w:r>
            <w:fldChar w:fldCharType="begin"/>
          </w:r>
          <w:r>
            <w:instrText xml:space="preserve"> HYPERLINK \l "_Toc27054988" </w:instrText>
          </w:r>
          <w:r>
            <w:fldChar w:fldCharType="separate"/>
          </w:r>
          <w:r>
            <w:rPr>
              <w:rStyle w:val="13"/>
              <w:rFonts w:ascii="新細明體" w:hAnsi="新細明體"/>
            </w:rPr>
            <w:t>21</w:t>
          </w:r>
          <w:r>
            <w:rPr>
              <w:rStyle w:val="13"/>
              <w:rFonts w:hint="eastAsia" w:ascii="新細明體" w:hAnsi="新細明體"/>
            </w:rPr>
            <w:t>世紀的香港社會運動</w:t>
          </w:r>
          <w:r>
            <w:tab/>
          </w:r>
          <w:r>
            <w:fldChar w:fldCharType="begin"/>
          </w:r>
          <w:r>
            <w:instrText xml:space="preserve"> PAGEREF _Toc27054988 \h </w:instrText>
          </w:r>
          <w:r>
            <w:fldChar w:fldCharType="separate"/>
          </w:r>
          <w:r>
            <w:t>9</w:t>
          </w:r>
          <w:r>
            <w:fldChar w:fldCharType="end"/>
          </w:r>
          <w:r>
            <w:fldChar w:fldCharType="end"/>
          </w:r>
        </w:p>
        <w:p w14:paraId="6BC12204">
          <w:pPr>
            <w:pStyle w:val="17"/>
            <w:tabs>
              <w:tab w:val="right" w:leader="dot" w:pos="9016"/>
            </w:tabs>
            <w:rPr>
              <w:rFonts w:eastAsia="SimSun" w:hAnsiTheme="minorHAnsi" w:cstheme="minorBidi"/>
              <w:lang w:eastAsia="zh-CN"/>
            </w:rPr>
          </w:pPr>
          <w:r>
            <w:fldChar w:fldCharType="begin"/>
          </w:r>
          <w:r>
            <w:instrText xml:space="preserve"> HYPERLINK \l "_Toc27054989" </w:instrText>
          </w:r>
          <w:r>
            <w:fldChar w:fldCharType="separate"/>
          </w:r>
          <w:r>
            <w:rPr>
              <w:rStyle w:val="13"/>
              <w:rFonts w:hint="eastAsia" w:ascii="新細明體" w:hAnsi="新細明體"/>
            </w:rPr>
            <w:t>資訊科技高速發展的影響</w:t>
          </w:r>
          <w:r>
            <w:tab/>
          </w:r>
          <w:r>
            <w:fldChar w:fldCharType="begin"/>
          </w:r>
          <w:r>
            <w:instrText xml:space="preserve"> PAGEREF _Toc27054989 \h </w:instrText>
          </w:r>
          <w:r>
            <w:fldChar w:fldCharType="separate"/>
          </w:r>
          <w:r>
            <w:t>9</w:t>
          </w:r>
          <w:r>
            <w:fldChar w:fldCharType="end"/>
          </w:r>
          <w:r>
            <w:fldChar w:fldCharType="end"/>
          </w:r>
        </w:p>
        <w:p w14:paraId="6B42EDF5">
          <w:pPr>
            <w:pStyle w:val="17"/>
            <w:tabs>
              <w:tab w:val="right" w:leader="dot" w:pos="9016"/>
            </w:tabs>
            <w:rPr>
              <w:rFonts w:eastAsia="SimSun" w:hAnsiTheme="minorHAnsi" w:cstheme="minorBidi"/>
              <w:lang w:eastAsia="zh-CN"/>
            </w:rPr>
          </w:pPr>
          <w:r>
            <w:fldChar w:fldCharType="begin"/>
          </w:r>
          <w:r>
            <w:instrText xml:space="preserve"> HYPERLINK \l "_Toc27054990" </w:instrText>
          </w:r>
          <w:r>
            <w:fldChar w:fldCharType="separate"/>
          </w:r>
          <w:r>
            <w:rPr>
              <w:rStyle w:val="13"/>
              <w:rFonts w:hint="eastAsia" w:ascii="新細明體" w:hAnsi="新細明體"/>
            </w:rPr>
            <w:t>新社交媒體環境</w:t>
          </w:r>
          <w:r>
            <w:tab/>
          </w:r>
          <w:r>
            <w:fldChar w:fldCharType="begin"/>
          </w:r>
          <w:r>
            <w:instrText xml:space="preserve"> PAGEREF _Toc27054990 \h </w:instrText>
          </w:r>
          <w:r>
            <w:fldChar w:fldCharType="separate"/>
          </w:r>
          <w:r>
            <w:t>9</w:t>
          </w:r>
          <w:r>
            <w:fldChar w:fldCharType="end"/>
          </w:r>
          <w:r>
            <w:fldChar w:fldCharType="end"/>
          </w:r>
        </w:p>
        <w:p w14:paraId="01AFCF9C">
          <w:pPr>
            <w:pStyle w:val="17"/>
            <w:tabs>
              <w:tab w:val="right" w:leader="dot" w:pos="9016"/>
            </w:tabs>
            <w:rPr>
              <w:rFonts w:eastAsia="SimSun" w:hAnsiTheme="minorHAnsi" w:cstheme="minorBidi"/>
              <w:lang w:eastAsia="zh-CN"/>
            </w:rPr>
          </w:pPr>
          <w:r>
            <w:fldChar w:fldCharType="begin"/>
          </w:r>
          <w:r>
            <w:instrText xml:space="preserve"> HYPERLINK \l "_Toc27054991" </w:instrText>
          </w:r>
          <w:r>
            <w:fldChar w:fldCharType="separate"/>
          </w:r>
          <w:r>
            <w:rPr>
              <w:rStyle w:val="13"/>
              <w:rFonts w:hint="eastAsia" w:ascii="新細明體" w:hAnsi="新細明體"/>
            </w:rPr>
            <w:t>人生價值觀的改變</w:t>
          </w:r>
          <w:r>
            <w:tab/>
          </w:r>
          <w:r>
            <w:fldChar w:fldCharType="begin"/>
          </w:r>
          <w:r>
            <w:instrText xml:space="preserve"> PAGEREF _Toc27054991 \h </w:instrText>
          </w:r>
          <w:r>
            <w:fldChar w:fldCharType="separate"/>
          </w:r>
          <w:r>
            <w:t>10</w:t>
          </w:r>
          <w:r>
            <w:fldChar w:fldCharType="end"/>
          </w:r>
          <w:r>
            <w:fldChar w:fldCharType="end"/>
          </w:r>
        </w:p>
        <w:p w14:paraId="50BC5409">
          <w:pPr>
            <w:pStyle w:val="17"/>
            <w:tabs>
              <w:tab w:val="right" w:leader="dot" w:pos="9016"/>
            </w:tabs>
            <w:rPr>
              <w:rFonts w:eastAsia="SimSun" w:hAnsiTheme="minorHAnsi" w:cstheme="minorBidi"/>
              <w:lang w:eastAsia="zh-CN"/>
            </w:rPr>
          </w:pPr>
          <w:r>
            <w:fldChar w:fldCharType="begin"/>
          </w:r>
          <w:r>
            <w:instrText xml:space="preserve"> HYPERLINK \l "_Toc27054992" </w:instrText>
          </w:r>
          <w:r>
            <w:fldChar w:fldCharType="separate"/>
          </w:r>
          <w:r>
            <w:rPr>
              <w:rStyle w:val="13"/>
              <w:rFonts w:hint="eastAsia" w:ascii="新細明體" w:hAnsi="新細明體"/>
            </w:rPr>
            <w:t>民粹狂潮</w:t>
          </w:r>
          <w:r>
            <w:tab/>
          </w:r>
          <w:r>
            <w:fldChar w:fldCharType="begin"/>
          </w:r>
          <w:r>
            <w:instrText xml:space="preserve"> PAGEREF _Toc27054992 \h </w:instrText>
          </w:r>
          <w:r>
            <w:fldChar w:fldCharType="separate"/>
          </w:r>
          <w:r>
            <w:t>11</w:t>
          </w:r>
          <w:r>
            <w:fldChar w:fldCharType="end"/>
          </w:r>
          <w:r>
            <w:fldChar w:fldCharType="end"/>
          </w:r>
        </w:p>
        <w:p w14:paraId="63F0B83C">
          <w:pPr>
            <w:pStyle w:val="17"/>
            <w:tabs>
              <w:tab w:val="right" w:leader="dot" w:pos="9016"/>
            </w:tabs>
            <w:rPr>
              <w:rFonts w:eastAsia="SimSun" w:hAnsiTheme="minorHAnsi" w:cstheme="minorBidi"/>
              <w:lang w:eastAsia="zh-CN"/>
            </w:rPr>
          </w:pPr>
          <w:r>
            <w:fldChar w:fldCharType="begin"/>
          </w:r>
          <w:r>
            <w:instrText xml:space="preserve"> HYPERLINK \l "_Toc27054993" </w:instrText>
          </w:r>
          <w:r>
            <w:fldChar w:fldCharType="separate"/>
          </w:r>
          <w:r>
            <w:rPr>
              <w:rStyle w:val="13"/>
              <w:rFonts w:hint="eastAsia" w:ascii="新細明體" w:hAnsi="新細明體"/>
            </w:rPr>
            <w:t>公理標準的顛倒</w:t>
          </w:r>
          <w:r>
            <w:tab/>
          </w:r>
          <w:r>
            <w:fldChar w:fldCharType="begin"/>
          </w:r>
          <w:r>
            <w:instrText xml:space="preserve"> PAGEREF _Toc27054993 \h </w:instrText>
          </w:r>
          <w:r>
            <w:fldChar w:fldCharType="separate"/>
          </w:r>
          <w:r>
            <w:t>11</w:t>
          </w:r>
          <w:r>
            <w:fldChar w:fldCharType="end"/>
          </w:r>
          <w:r>
            <w:fldChar w:fldCharType="end"/>
          </w:r>
        </w:p>
        <w:p w14:paraId="24D8B3E9">
          <w:pPr>
            <w:pStyle w:val="17"/>
            <w:tabs>
              <w:tab w:val="right" w:leader="dot" w:pos="9016"/>
            </w:tabs>
            <w:rPr>
              <w:rFonts w:eastAsia="SimSun" w:hAnsiTheme="minorHAnsi" w:cstheme="minorBidi"/>
              <w:lang w:eastAsia="zh-CN"/>
            </w:rPr>
          </w:pPr>
          <w:r>
            <w:fldChar w:fldCharType="begin"/>
          </w:r>
          <w:r>
            <w:instrText xml:space="preserve"> HYPERLINK \l "_Toc27054994" </w:instrText>
          </w:r>
          <w:r>
            <w:fldChar w:fldCharType="separate"/>
          </w:r>
          <w:r>
            <w:rPr>
              <w:rStyle w:val="13"/>
              <w:rFonts w:hint="eastAsia" w:ascii="新細明體" w:hAnsi="新細明體"/>
            </w:rPr>
            <w:t>香港社會運動的修補</w:t>
          </w:r>
          <w:r>
            <w:tab/>
          </w:r>
          <w:r>
            <w:fldChar w:fldCharType="begin"/>
          </w:r>
          <w:r>
            <w:instrText xml:space="preserve"> PAGEREF _Toc27054994 \h </w:instrText>
          </w:r>
          <w:r>
            <w:fldChar w:fldCharType="separate"/>
          </w:r>
          <w:r>
            <w:t>12</w:t>
          </w:r>
          <w:r>
            <w:fldChar w:fldCharType="end"/>
          </w:r>
          <w:r>
            <w:fldChar w:fldCharType="end"/>
          </w:r>
        </w:p>
        <w:p w14:paraId="287AAA84">
          <w:pPr>
            <w:pStyle w:val="18"/>
            <w:tabs>
              <w:tab w:val="right" w:leader="dot" w:pos="9016"/>
            </w:tabs>
            <w:rPr>
              <w:rFonts w:eastAsia="SimSun" w:hAnsiTheme="minorHAnsi" w:cstheme="minorBidi"/>
              <w:lang w:eastAsia="zh-CN"/>
            </w:rPr>
          </w:pPr>
          <w:r>
            <w:fldChar w:fldCharType="begin"/>
          </w:r>
          <w:r>
            <w:instrText xml:space="preserve"> HYPERLINK \l "_Toc27054995" </w:instrText>
          </w:r>
          <w:r>
            <w:fldChar w:fldCharType="separate"/>
          </w:r>
          <w:r>
            <w:rPr>
              <w:rStyle w:val="13"/>
              <w:rFonts w:hint="eastAsia" w:ascii="新細明體" w:hAnsi="新細明體"/>
            </w:rPr>
            <w:t>製造就業機會</w:t>
          </w:r>
          <w:r>
            <w:tab/>
          </w:r>
          <w:r>
            <w:fldChar w:fldCharType="begin"/>
          </w:r>
          <w:r>
            <w:instrText xml:space="preserve"> PAGEREF _Toc27054995 \h </w:instrText>
          </w:r>
          <w:r>
            <w:fldChar w:fldCharType="separate"/>
          </w:r>
          <w:r>
            <w:t>12</w:t>
          </w:r>
          <w:r>
            <w:fldChar w:fldCharType="end"/>
          </w:r>
          <w:r>
            <w:fldChar w:fldCharType="end"/>
          </w:r>
        </w:p>
        <w:p w14:paraId="04EC5EA0">
          <w:pPr>
            <w:pStyle w:val="18"/>
            <w:tabs>
              <w:tab w:val="right" w:leader="dot" w:pos="9016"/>
            </w:tabs>
            <w:rPr>
              <w:rFonts w:eastAsia="SimSun" w:hAnsiTheme="minorHAnsi" w:cstheme="minorBidi"/>
              <w:lang w:eastAsia="zh-CN"/>
            </w:rPr>
          </w:pPr>
          <w:r>
            <w:fldChar w:fldCharType="begin"/>
          </w:r>
          <w:r>
            <w:instrText xml:space="preserve"> HYPERLINK \l "_Toc27054996" </w:instrText>
          </w:r>
          <w:r>
            <w:fldChar w:fldCharType="separate"/>
          </w:r>
          <w:r>
            <w:rPr>
              <w:rStyle w:val="13"/>
              <w:rFonts w:hint="eastAsia" w:ascii="新細明體" w:hAnsi="新細明體"/>
            </w:rPr>
            <w:t>監管和提高社交媒體素質</w:t>
          </w:r>
          <w:r>
            <w:tab/>
          </w:r>
          <w:r>
            <w:fldChar w:fldCharType="begin"/>
          </w:r>
          <w:r>
            <w:instrText xml:space="preserve"> PAGEREF _Toc27054996 \h </w:instrText>
          </w:r>
          <w:r>
            <w:fldChar w:fldCharType="separate"/>
          </w:r>
          <w:r>
            <w:t>12</w:t>
          </w:r>
          <w:r>
            <w:fldChar w:fldCharType="end"/>
          </w:r>
          <w:r>
            <w:fldChar w:fldCharType="end"/>
          </w:r>
        </w:p>
        <w:p w14:paraId="7AF6DD57">
          <w:pPr>
            <w:pStyle w:val="18"/>
            <w:tabs>
              <w:tab w:val="right" w:leader="dot" w:pos="9016"/>
            </w:tabs>
            <w:rPr>
              <w:rFonts w:eastAsia="SimSun" w:hAnsiTheme="minorHAnsi" w:cstheme="minorBidi"/>
              <w:lang w:eastAsia="zh-CN"/>
            </w:rPr>
          </w:pPr>
          <w:r>
            <w:fldChar w:fldCharType="begin"/>
          </w:r>
          <w:r>
            <w:instrText xml:space="preserve"> HYPERLINK \l "_Toc27054997" </w:instrText>
          </w:r>
          <w:r>
            <w:fldChar w:fldCharType="separate"/>
          </w:r>
          <w:r>
            <w:rPr>
              <w:rStyle w:val="13"/>
              <w:rFonts w:hint="eastAsia" w:ascii="新細明體" w:hAnsi="新細明體"/>
            </w:rPr>
            <w:t>重視公民，國民教育及跨行業的培訓</w:t>
          </w:r>
          <w:r>
            <w:tab/>
          </w:r>
          <w:r>
            <w:fldChar w:fldCharType="begin"/>
          </w:r>
          <w:r>
            <w:instrText xml:space="preserve"> PAGEREF _Toc27054997 \h </w:instrText>
          </w:r>
          <w:r>
            <w:fldChar w:fldCharType="separate"/>
          </w:r>
          <w:r>
            <w:t>12</w:t>
          </w:r>
          <w:r>
            <w:fldChar w:fldCharType="end"/>
          </w:r>
          <w:r>
            <w:fldChar w:fldCharType="end"/>
          </w:r>
        </w:p>
        <w:p w14:paraId="6B963BCD">
          <w:pPr>
            <w:pStyle w:val="16"/>
            <w:tabs>
              <w:tab w:val="right" w:leader="dot" w:pos="9016"/>
            </w:tabs>
            <w:rPr>
              <w:rFonts w:eastAsia="SimSun" w:hAnsiTheme="minorHAnsi" w:cstheme="minorBidi"/>
              <w:lang w:eastAsia="zh-CN"/>
            </w:rPr>
          </w:pPr>
          <w:r>
            <w:fldChar w:fldCharType="begin"/>
          </w:r>
          <w:r>
            <w:instrText xml:space="preserve"> HYPERLINK \l "_Toc27054998" </w:instrText>
          </w:r>
          <w:r>
            <w:fldChar w:fldCharType="separate"/>
          </w:r>
          <w:r>
            <w:rPr>
              <w:rStyle w:val="13"/>
              <w:rFonts w:hint="eastAsia" w:ascii="新細明體" w:hAnsi="新細明體"/>
            </w:rPr>
            <w:t>總結</w:t>
          </w:r>
          <w:r>
            <w:tab/>
          </w:r>
          <w:r>
            <w:fldChar w:fldCharType="begin"/>
          </w:r>
          <w:r>
            <w:instrText xml:space="preserve"> PAGEREF _Toc27054998 \h </w:instrText>
          </w:r>
          <w:r>
            <w:fldChar w:fldCharType="separate"/>
          </w:r>
          <w:r>
            <w:t>13</w:t>
          </w:r>
          <w:r>
            <w:fldChar w:fldCharType="end"/>
          </w:r>
          <w:r>
            <w:fldChar w:fldCharType="end"/>
          </w:r>
        </w:p>
        <w:p w14:paraId="7D812892">
          <w:pPr>
            <w:pStyle w:val="17"/>
            <w:tabs>
              <w:tab w:val="right" w:leader="dot" w:pos="9016"/>
            </w:tabs>
            <w:rPr>
              <w:rFonts w:eastAsia="SimSun" w:hAnsiTheme="minorHAnsi" w:cstheme="minorBidi"/>
              <w:lang w:eastAsia="zh-CN"/>
            </w:rPr>
          </w:pPr>
          <w:r>
            <w:fldChar w:fldCharType="begin"/>
          </w:r>
          <w:r>
            <w:instrText xml:space="preserve"> HYPERLINK \l "_Toc27054999" </w:instrText>
          </w:r>
          <w:r>
            <w:fldChar w:fldCharType="separate"/>
          </w:r>
          <w:r>
            <w:rPr>
              <w:rStyle w:val="13"/>
              <w:rFonts w:hint="eastAsia" w:ascii="新細明體" w:hAnsi="新細明體"/>
            </w:rPr>
            <w:t>短期建議</w:t>
          </w:r>
          <w:r>
            <w:tab/>
          </w:r>
          <w:r>
            <w:fldChar w:fldCharType="begin"/>
          </w:r>
          <w:r>
            <w:instrText xml:space="preserve"> PAGEREF _Toc27054999 \h </w:instrText>
          </w:r>
          <w:r>
            <w:fldChar w:fldCharType="separate"/>
          </w:r>
          <w:r>
            <w:t>13</w:t>
          </w:r>
          <w:r>
            <w:fldChar w:fldCharType="end"/>
          </w:r>
          <w:r>
            <w:fldChar w:fldCharType="end"/>
          </w:r>
        </w:p>
        <w:p w14:paraId="5EFE680A">
          <w:pPr>
            <w:pStyle w:val="18"/>
            <w:tabs>
              <w:tab w:val="right" w:leader="dot" w:pos="9016"/>
            </w:tabs>
            <w:rPr>
              <w:rFonts w:eastAsia="SimSun" w:hAnsiTheme="minorHAnsi" w:cstheme="minorBidi"/>
              <w:lang w:eastAsia="zh-CN"/>
            </w:rPr>
          </w:pPr>
          <w:r>
            <w:fldChar w:fldCharType="begin"/>
          </w:r>
          <w:r>
            <w:instrText xml:space="preserve"> HYPERLINK \l "_Toc27055000" </w:instrText>
          </w:r>
          <w:r>
            <w:fldChar w:fldCharType="separate"/>
          </w:r>
          <w:r>
            <w:rPr>
              <w:rStyle w:val="13"/>
              <w:rFonts w:hint="eastAsia" w:ascii="新細明體" w:hAnsi="新細明體"/>
            </w:rPr>
            <w:t>止暴制亂</w:t>
          </w:r>
          <w:r>
            <w:tab/>
          </w:r>
          <w:r>
            <w:fldChar w:fldCharType="begin"/>
          </w:r>
          <w:r>
            <w:instrText xml:space="preserve"> PAGEREF _Toc27055000 \h </w:instrText>
          </w:r>
          <w:r>
            <w:fldChar w:fldCharType="separate"/>
          </w:r>
          <w:r>
            <w:t>13</w:t>
          </w:r>
          <w:r>
            <w:fldChar w:fldCharType="end"/>
          </w:r>
          <w:r>
            <w:fldChar w:fldCharType="end"/>
          </w:r>
        </w:p>
        <w:p w14:paraId="60EA4356">
          <w:pPr>
            <w:pStyle w:val="18"/>
            <w:tabs>
              <w:tab w:val="right" w:leader="dot" w:pos="9016"/>
            </w:tabs>
            <w:rPr>
              <w:rFonts w:eastAsia="SimSun" w:hAnsiTheme="minorHAnsi" w:cstheme="minorBidi"/>
              <w:lang w:eastAsia="zh-CN"/>
            </w:rPr>
          </w:pPr>
          <w:r>
            <w:fldChar w:fldCharType="begin"/>
          </w:r>
          <w:r>
            <w:instrText xml:space="preserve"> HYPERLINK \l "_Toc27055001" </w:instrText>
          </w:r>
          <w:r>
            <w:fldChar w:fldCharType="separate"/>
          </w:r>
          <w:r>
            <w:rPr>
              <w:rStyle w:val="13"/>
              <w:rFonts w:hint="eastAsia" w:ascii="新細明體" w:hAnsi="新細明體"/>
            </w:rPr>
            <w:t>加強警力</w:t>
          </w:r>
          <w:r>
            <w:tab/>
          </w:r>
          <w:r>
            <w:fldChar w:fldCharType="begin"/>
          </w:r>
          <w:r>
            <w:instrText xml:space="preserve"> PAGEREF _Toc27055001 \h </w:instrText>
          </w:r>
          <w:r>
            <w:fldChar w:fldCharType="separate"/>
          </w:r>
          <w:r>
            <w:t>13</w:t>
          </w:r>
          <w:r>
            <w:fldChar w:fldCharType="end"/>
          </w:r>
          <w:r>
            <w:fldChar w:fldCharType="end"/>
          </w:r>
        </w:p>
        <w:p w14:paraId="1626362D">
          <w:pPr>
            <w:pStyle w:val="18"/>
            <w:tabs>
              <w:tab w:val="right" w:leader="dot" w:pos="9016"/>
            </w:tabs>
            <w:rPr>
              <w:rFonts w:eastAsia="SimSun" w:hAnsiTheme="minorHAnsi" w:cstheme="minorBidi"/>
              <w:lang w:eastAsia="zh-CN"/>
            </w:rPr>
          </w:pPr>
          <w:r>
            <w:fldChar w:fldCharType="begin"/>
          </w:r>
          <w:r>
            <w:instrText xml:space="preserve"> HYPERLINK \l "_Toc27055002" </w:instrText>
          </w:r>
          <w:r>
            <w:fldChar w:fldCharType="separate"/>
          </w:r>
          <w:r>
            <w:rPr>
              <w:rStyle w:val="13"/>
              <w:rFonts w:hint="eastAsia" w:ascii="新細明體" w:hAnsi="新細明體"/>
            </w:rPr>
            <w:t>成立監察社交媒體機構</w:t>
          </w:r>
          <w:r>
            <w:tab/>
          </w:r>
          <w:r>
            <w:fldChar w:fldCharType="begin"/>
          </w:r>
          <w:r>
            <w:instrText xml:space="preserve"> PAGEREF _Toc27055002 \h </w:instrText>
          </w:r>
          <w:r>
            <w:fldChar w:fldCharType="separate"/>
          </w:r>
          <w:r>
            <w:t>13</w:t>
          </w:r>
          <w:r>
            <w:fldChar w:fldCharType="end"/>
          </w:r>
          <w:r>
            <w:fldChar w:fldCharType="end"/>
          </w:r>
        </w:p>
        <w:p w14:paraId="52F92075">
          <w:pPr>
            <w:pStyle w:val="18"/>
            <w:tabs>
              <w:tab w:val="right" w:leader="dot" w:pos="9016"/>
            </w:tabs>
            <w:rPr>
              <w:rFonts w:eastAsia="SimSun" w:hAnsiTheme="minorHAnsi" w:cstheme="minorBidi"/>
              <w:lang w:eastAsia="zh-CN"/>
            </w:rPr>
          </w:pPr>
          <w:r>
            <w:fldChar w:fldCharType="begin"/>
          </w:r>
          <w:r>
            <w:instrText xml:space="preserve"> HYPERLINK \l "_Toc27055003" </w:instrText>
          </w:r>
          <w:r>
            <w:fldChar w:fldCharType="separate"/>
          </w:r>
          <w:r>
            <w:rPr>
              <w:rStyle w:val="13"/>
              <w:rFonts w:hint="eastAsia" w:ascii="新細明體" w:hAnsi="新細明體"/>
            </w:rPr>
            <w:t>即捕即判</w:t>
          </w:r>
          <w:r>
            <w:rPr>
              <w:rStyle w:val="13"/>
              <w:rFonts w:ascii="新細明體" w:hAnsi="新細明體"/>
            </w:rPr>
            <w:t xml:space="preserve"> </w:t>
          </w:r>
          <w:r>
            <w:rPr>
              <w:rStyle w:val="13"/>
              <w:rFonts w:hint="eastAsia" w:ascii="新細明體" w:hAnsi="新細明體"/>
            </w:rPr>
            <w:t>，以儆效尤</w:t>
          </w:r>
          <w:r>
            <w:tab/>
          </w:r>
          <w:r>
            <w:fldChar w:fldCharType="begin"/>
          </w:r>
          <w:r>
            <w:instrText xml:space="preserve"> PAGEREF _Toc27055003 \h </w:instrText>
          </w:r>
          <w:r>
            <w:fldChar w:fldCharType="separate"/>
          </w:r>
          <w:r>
            <w:t>13</w:t>
          </w:r>
          <w:r>
            <w:fldChar w:fldCharType="end"/>
          </w:r>
          <w:r>
            <w:fldChar w:fldCharType="end"/>
          </w:r>
        </w:p>
        <w:p w14:paraId="3A5F069D">
          <w:pPr>
            <w:pStyle w:val="17"/>
            <w:tabs>
              <w:tab w:val="right" w:leader="dot" w:pos="9016"/>
            </w:tabs>
            <w:rPr>
              <w:rFonts w:eastAsia="SimSun" w:hAnsiTheme="minorHAnsi" w:cstheme="minorBidi"/>
              <w:lang w:eastAsia="zh-CN"/>
            </w:rPr>
          </w:pPr>
          <w:r>
            <w:fldChar w:fldCharType="begin"/>
          </w:r>
          <w:r>
            <w:instrText xml:space="preserve"> HYPERLINK \l "_Toc27055004" </w:instrText>
          </w:r>
          <w:r>
            <w:fldChar w:fldCharType="separate"/>
          </w:r>
          <w:r>
            <w:rPr>
              <w:rStyle w:val="13"/>
              <w:rFonts w:hint="eastAsia" w:ascii="新細明體" w:hAnsi="新細明體"/>
            </w:rPr>
            <w:t>長遠建議</w:t>
          </w:r>
          <w:r>
            <w:tab/>
          </w:r>
          <w:r>
            <w:fldChar w:fldCharType="begin"/>
          </w:r>
          <w:r>
            <w:instrText xml:space="preserve"> PAGEREF _Toc27055004 \h </w:instrText>
          </w:r>
          <w:r>
            <w:fldChar w:fldCharType="separate"/>
          </w:r>
          <w:r>
            <w:t>13</w:t>
          </w:r>
          <w:r>
            <w:fldChar w:fldCharType="end"/>
          </w:r>
          <w:r>
            <w:fldChar w:fldCharType="end"/>
          </w:r>
        </w:p>
        <w:p w14:paraId="6A8D9444">
          <w:pPr>
            <w:pStyle w:val="18"/>
            <w:tabs>
              <w:tab w:val="right" w:leader="dot" w:pos="9016"/>
            </w:tabs>
            <w:rPr>
              <w:rFonts w:eastAsia="SimSun" w:hAnsiTheme="minorHAnsi" w:cstheme="minorBidi"/>
              <w:lang w:eastAsia="zh-CN"/>
            </w:rPr>
          </w:pPr>
          <w:r>
            <w:fldChar w:fldCharType="begin"/>
          </w:r>
          <w:r>
            <w:instrText xml:space="preserve"> HYPERLINK \l "_Toc27055005" </w:instrText>
          </w:r>
          <w:r>
            <w:fldChar w:fldCharType="separate"/>
          </w:r>
          <w:r>
            <w:rPr>
              <w:rStyle w:val="13"/>
              <w:rFonts w:hint="eastAsia" w:ascii="新細明體" w:hAnsi="新細明體"/>
            </w:rPr>
            <w:t>製造就業機會</w:t>
          </w:r>
          <w:r>
            <w:tab/>
          </w:r>
          <w:r>
            <w:fldChar w:fldCharType="begin"/>
          </w:r>
          <w:r>
            <w:instrText xml:space="preserve"> PAGEREF _Toc27055005 \h </w:instrText>
          </w:r>
          <w:r>
            <w:fldChar w:fldCharType="separate"/>
          </w:r>
          <w:r>
            <w:t>13</w:t>
          </w:r>
          <w:r>
            <w:fldChar w:fldCharType="end"/>
          </w:r>
          <w:r>
            <w:fldChar w:fldCharType="end"/>
          </w:r>
        </w:p>
        <w:p w14:paraId="547DEFBC">
          <w:pPr>
            <w:pStyle w:val="18"/>
            <w:tabs>
              <w:tab w:val="right" w:leader="dot" w:pos="9016"/>
            </w:tabs>
            <w:rPr>
              <w:rFonts w:eastAsia="SimSun" w:hAnsiTheme="minorHAnsi" w:cstheme="minorBidi"/>
              <w:lang w:eastAsia="zh-CN"/>
            </w:rPr>
          </w:pPr>
          <w:r>
            <w:fldChar w:fldCharType="begin"/>
          </w:r>
          <w:r>
            <w:instrText xml:space="preserve"> HYPERLINK \l "_Toc27055006" </w:instrText>
          </w:r>
          <w:r>
            <w:fldChar w:fldCharType="separate"/>
          </w:r>
          <w:r>
            <w:rPr>
              <w:rStyle w:val="13"/>
              <w:rFonts w:hint="eastAsia" w:ascii="新細明體" w:hAnsi="新細明體"/>
            </w:rPr>
            <w:t>重視公民，國民教育</w:t>
          </w:r>
          <w:r>
            <w:tab/>
          </w:r>
          <w:r>
            <w:fldChar w:fldCharType="begin"/>
          </w:r>
          <w:r>
            <w:instrText xml:space="preserve"> PAGEREF _Toc27055006 \h </w:instrText>
          </w:r>
          <w:r>
            <w:fldChar w:fldCharType="separate"/>
          </w:r>
          <w:r>
            <w:t>13</w:t>
          </w:r>
          <w:r>
            <w:fldChar w:fldCharType="end"/>
          </w:r>
          <w:r>
            <w:fldChar w:fldCharType="end"/>
          </w:r>
        </w:p>
        <w:p w14:paraId="7E62E2E0">
          <w:pPr>
            <w:pStyle w:val="16"/>
            <w:tabs>
              <w:tab w:val="right" w:leader="dot" w:pos="9016"/>
            </w:tabs>
            <w:rPr>
              <w:rFonts w:eastAsia="SimSun" w:hAnsiTheme="minorHAnsi" w:cstheme="minorBidi"/>
              <w:lang w:eastAsia="zh-CN"/>
            </w:rPr>
          </w:pPr>
          <w:r>
            <w:fldChar w:fldCharType="begin"/>
          </w:r>
          <w:r>
            <w:instrText xml:space="preserve"> HYPERLINK \l "_Toc27055007" </w:instrText>
          </w:r>
          <w:r>
            <w:fldChar w:fldCharType="separate"/>
          </w:r>
          <w:r>
            <w:rPr>
              <w:rStyle w:val="13"/>
              <w:rFonts w:hint="eastAsia" w:ascii="新細明體" w:hAnsi="新細明體"/>
            </w:rPr>
            <w:t>最後建議</w:t>
          </w:r>
          <w:r>
            <w:tab/>
          </w:r>
          <w:r>
            <w:fldChar w:fldCharType="begin"/>
          </w:r>
          <w:r>
            <w:instrText xml:space="preserve"> PAGEREF _Toc27055007 \h </w:instrText>
          </w:r>
          <w:r>
            <w:fldChar w:fldCharType="separate"/>
          </w:r>
          <w:r>
            <w:t>14</w:t>
          </w:r>
          <w:r>
            <w:fldChar w:fldCharType="end"/>
          </w:r>
          <w:r>
            <w:fldChar w:fldCharType="end"/>
          </w:r>
        </w:p>
        <w:p w14:paraId="32A69493">
          <w:pPr>
            <w:pStyle w:val="16"/>
            <w:tabs>
              <w:tab w:val="right" w:leader="dot" w:pos="9016"/>
            </w:tabs>
            <w:rPr>
              <w:rFonts w:eastAsia="SimSun" w:hAnsiTheme="minorHAnsi" w:cstheme="minorBidi"/>
              <w:lang w:eastAsia="zh-CN"/>
            </w:rPr>
          </w:pPr>
          <w:r>
            <w:fldChar w:fldCharType="begin"/>
          </w:r>
          <w:r>
            <w:instrText xml:space="preserve"> HYPERLINK \l "_Toc27055008" </w:instrText>
          </w:r>
          <w:r>
            <w:fldChar w:fldCharType="separate"/>
          </w:r>
          <w:r>
            <w:rPr>
              <w:rStyle w:val="13"/>
              <w:rFonts w:hint="eastAsia" w:ascii="新細明體" w:hAnsi="新細明體"/>
            </w:rPr>
            <w:t>附件</w:t>
          </w:r>
          <w:r>
            <w:tab/>
          </w:r>
          <w:r>
            <w:fldChar w:fldCharType="begin"/>
          </w:r>
          <w:r>
            <w:instrText xml:space="preserve"> PAGEREF _Toc27055008 \h </w:instrText>
          </w:r>
          <w:r>
            <w:fldChar w:fldCharType="separate"/>
          </w:r>
          <w:r>
            <w:t>15</w:t>
          </w:r>
          <w:r>
            <w:fldChar w:fldCharType="end"/>
          </w:r>
          <w:r>
            <w:fldChar w:fldCharType="end"/>
          </w:r>
        </w:p>
        <w:p w14:paraId="3B9EA624">
          <w:pPr>
            <w:pStyle w:val="18"/>
            <w:tabs>
              <w:tab w:val="right" w:leader="dot" w:pos="9016"/>
            </w:tabs>
            <w:rPr>
              <w:rFonts w:eastAsia="SimSun" w:hAnsiTheme="minorHAnsi" w:cstheme="minorBidi"/>
              <w:lang w:eastAsia="zh-CN"/>
            </w:rPr>
          </w:pPr>
          <w:r>
            <w:fldChar w:fldCharType="begin"/>
          </w:r>
          <w:r>
            <w:instrText xml:space="preserve"> HYPERLINK \l "_Toc27055009" </w:instrText>
          </w:r>
          <w:r>
            <w:fldChar w:fldCharType="separate"/>
          </w:r>
          <w:r>
            <w:rPr>
              <w:rStyle w:val="13"/>
              <w:rFonts w:hint="eastAsia" w:ascii="新細明體" w:hAnsi="新細明體"/>
            </w:rPr>
            <w:t>參考書目和譯註來源</w:t>
          </w:r>
          <w:r>
            <w:tab/>
          </w:r>
          <w:r>
            <w:fldChar w:fldCharType="begin"/>
          </w:r>
          <w:r>
            <w:instrText xml:space="preserve"> PAGEREF _Toc27055009 \h </w:instrText>
          </w:r>
          <w:r>
            <w:fldChar w:fldCharType="separate"/>
          </w:r>
          <w:r>
            <w:t>17</w:t>
          </w:r>
          <w:r>
            <w:fldChar w:fldCharType="end"/>
          </w:r>
          <w:r>
            <w:fldChar w:fldCharType="end"/>
          </w:r>
        </w:p>
        <w:p w14:paraId="72303094">
          <w:pPr>
            <w:spacing w:line="240" w:lineRule="auto"/>
            <w:rPr>
              <w:rFonts w:ascii="新細明體" w:hAnsi="新細明體"/>
              <w:sz w:val="24"/>
              <w:szCs w:val="24"/>
            </w:rPr>
          </w:pPr>
          <w:r>
            <w:rPr>
              <w:rFonts w:ascii="新細明體" w:hAnsi="新細明體"/>
              <w:b/>
              <w:bCs/>
              <w:sz w:val="24"/>
              <w:szCs w:val="24"/>
              <w:lang w:val="zh-TW" w:eastAsia="zh-TW"/>
            </w:rPr>
            <w:fldChar w:fldCharType="end"/>
          </w:r>
        </w:p>
      </w:sdtContent>
    </w:sdt>
    <w:p w14:paraId="678FFD2A">
      <w:pPr>
        <w:spacing w:after="0" w:line="240" w:lineRule="auto"/>
        <w:rPr>
          <w:rFonts w:ascii="新細明體" w:hAnsi="新細明體"/>
          <w:sz w:val="24"/>
          <w:szCs w:val="24"/>
        </w:rPr>
      </w:pPr>
    </w:p>
    <w:bookmarkEnd w:id="0"/>
    <w:tbl>
      <w:tblPr>
        <w:tblStyle w:val="15"/>
        <w:tblW w:w="92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09"/>
      </w:tblGrid>
      <w:tr w14:paraId="3D70F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9209" w:type="dxa"/>
            <w:shd w:val="clear" w:color="auto" w:fill="FEF2CC" w:themeFill="accent4" w:themeFillTint="33"/>
            <w:vAlign w:val="center"/>
          </w:tcPr>
          <w:p w14:paraId="3B0EAF89">
            <w:pPr>
              <w:pStyle w:val="2"/>
              <w:spacing w:line="240" w:lineRule="auto"/>
              <w:jc w:val="center"/>
              <w:outlineLvl w:val="0"/>
              <w:rPr>
                <w:rFonts w:ascii="新細明體" w:hAnsi="新細明體" w:eastAsia="新細明體"/>
                <w:sz w:val="24"/>
                <w:szCs w:val="24"/>
              </w:rPr>
            </w:pPr>
            <w:bookmarkStart w:id="1" w:name="_Toc27054977"/>
            <w:r>
              <w:rPr>
                <w:rFonts w:hint="eastAsia" w:ascii="新細明體" w:hAnsi="新細明體" w:eastAsia="新細明體"/>
                <w:sz w:val="24"/>
                <w:szCs w:val="24"/>
              </w:rPr>
              <w:t>摘  要</w:t>
            </w:r>
            <w:bookmarkEnd w:id="1"/>
          </w:p>
        </w:tc>
      </w:tr>
      <w:tr w14:paraId="3DB88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09" w:type="dxa"/>
          </w:tcPr>
          <w:p w14:paraId="7DF435AC">
            <w:pPr>
              <w:spacing w:after="0" w:line="240" w:lineRule="auto"/>
              <w:jc w:val="both"/>
              <w:rPr>
                <w:rFonts w:ascii="新細明體" w:hAnsi="新細明體"/>
                <w:sz w:val="24"/>
                <w:szCs w:val="24"/>
              </w:rPr>
            </w:pPr>
            <w:r>
              <w:rPr>
                <w:rFonts w:ascii="新細明體" w:hAnsi="新細明體"/>
                <w:sz w:val="24"/>
                <w:szCs w:val="24"/>
              </w:rPr>
              <w:t xml:space="preserve">   </w:t>
            </w:r>
          </w:p>
          <w:p w14:paraId="316875FF">
            <w:pPr>
              <w:spacing w:before="240" w:after="0" w:line="240" w:lineRule="auto"/>
              <w:ind w:firstLine="567"/>
              <w:jc w:val="both"/>
              <w:rPr>
                <w:rFonts w:ascii="新細明體" w:hAnsi="新細明體"/>
                <w:sz w:val="24"/>
                <w:szCs w:val="24"/>
              </w:rPr>
            </w:pPr>
            <w:r>
              <w:rPr>
                <w:rFonts w:hint="eastAsia" w:ascii="新細明體" w:hAnsi="新細明體"/>
                <w:sz w:val="24"/>
                <w:szCs w:val="24"/>
              </w:rPr>
              <w:t>香港反對逃犯條例修訂草案(Anti-Extradition Law Amendment Bill)爭議從3月15日開始，爭拗延至6月9日觸發了一場無確定領導、不分階級、無中心、高度自發、多個組織、以重視直接追求民主的「69大遊行」。從人數破紀錄的和平大遊行，逐步演變成連串大規模示威、靜坐、縱火、堵塞道路、隧道、破壞港鐵設施、鼓吹罷工、罷市、罷課、設置連儂牆、佔領立法局議會大樓、攻擊警局、癱瘓機場、霸佔大學、進行私了、挑撥離間警民衝突。幾乎每週都有項目性示威遊行，例如：和你Lunch、和你行等。街頭暴力不斷升級，民不聊生，不經不覺大半年，無領導者的民粹運動已發展為一群擁有共同目標和方向的人，有意識、有計劃地破壞社會秩序的社會運動(Social Movement) 。</w:t>
            </w:r>
          </w:p>
          <w:p w14:paraId="16E3463C">
            <w:pPr>
              <w:spacing w:before="240" w:after="0" w:line="240" w:lineRule="auto"/>
              <w:ind w:firstLine="567"/>
              <w:jc w:val="both"/>
              <w:rPr>
                <w:rFonts w:ascii="新細明體" w:hAnsi="新細明體"/>
                <w:sz w:val="24"/>
                <w:szCs w:val="24"/>
              </w:rPr>
            </w:pPr>
            <w:r>
              <w:rPr>
                <w:rFonts w:hint="eastAsia" w:ascii="新細明體" w:hAnsi="新細明體"/>
                <w:sz w:val="24"/>
                <w:szCs w:val="24"/>
              </w:rPr>
              <w:t>筆者抱著好奇和研發的熱忱，與朋友和同事，他們包括</w:t>
            </w:r>
            <w:bookmarkStart w:id="2" w:name="_Hlk27053904"/>
            <w:r>
              <w:rPr>
                <w:rFonts w:hint="eastAsia" w:ascii="新細明體" w:hAnsi="新細明體"/>
                <w:sz w:val="24"/>
                <w:szCs w:val="24"/>
              </w:rPr>
              <w:t>學者、大學教授、博士、學會會長、會計師、律師、財務顧問、教育工作者、媒體主編、牧師、科技專才</w:t>
            </w:r>
            <w:bookmarkEnd w:id="2"/>
            <w:r>
              <w:rPr>
                <w:rFonts w:hint="eastAsia" w:ascii="新細明體" w:hAnsi="新細明體"/>
                <w:sz w:val="24"/>
                <w:szCs w:val="24"/>
              </w:rPr>
              <w:t>等，根據各自的知識和觀點，集思廣益，抽絲剝繭，分析事實，嘗試以「破窗效應」理論（Broken Windows Theory）、「修補破窗理論」（Fixing Broken Windows Theory）、「路西法效應」（Lucifer Effect）等知識，研究21世紀的破窗效應如何對香港社會運動影響和發生，研究</w:t>
            </w:r>
            <w:bookmarkStart w:id="3" w:name="_Hlk26880377"/>
            <w:r>
              <w:rPr>
                <w:rFonts w:hint="eastAsia" w:ascii="新細明體" w:hAnsi="新細明體"/>
                <w:sz w:val="24"/>
                <w:szCs w:val="24"/>
              </w:rPr>
              <w:t>1)環境和科技的進步，2)新社交媒體環境，3)人生價值觀，4) 民粹風潮，5) 公理標準</w:t>
            </w:r>
            <w:bookmarkEnd w:id="3"/>
            <w:r>
              <w:rPr>
                <w:rFonts w:hint="eastAsia" w:ascii="新細明體" w:hAnsi="新細明體"/>
                <w:sz w:val="24"/>
                <w:szCs w:val="24"/>
              </w:rPr>
              <w:t>，五大範疇如何影響香港年青人的心態和行為，最後</w:t>
            </w:r>
            <w:bookmarkStart w:id="4" w:name="_Hlk26880572"/>
            <w:r>
              <w:rPr>
                <w:rFonts w:hint="eastAsia" w:ascii="新細明體" w:hAnsi="新細明體"/>
                <w:sz w:val="24"/>
                <w:szCs w:val="24"/>
              </w:rPr>
              <w:t>提出修補建議和解決困局的方向</w:t>
            </w:r>
            <w:bookmarkEnd w:id="4"/>
            <w:r>
              <w:rPr>
                <w:rFonts w:hint="eastAsia" w:ascii="新細明體" w:hAnsi="新細明體"/>
                <w:sz w:val="24"/>
                <w:szCs w:val="24"/>
              </w:rPr>
              <w:t>。</w:t>
            </w:r>
          </w:p>
          <w:p w14:paraId="2B720328">
            <w:pPr>
              <w:spacing w:before="240" w:after="0" w:line="240" w:lineRule="auto"/>
              <w:ind w:firstLine="567"/>
              <w:jc w:val="both"/>
              <w:rPr>
                <w:rFonts w:ascii="新細明體" w:hAnsi="新細明體"/>
                <w:sz w:val="24"/>
                <w:szCs w:val="24"/>
              </w:rPr>
            </w:pPr>
          </w:p>
          <w:p w14:paraId="42B64192">
            <w:pPr>
              <w:spacing w:before="240" w:after="0" w:line="240" w:lineRule="auto"/>
              <w:ind w:firstLine="567"/>
              <w:jc w:val="both"/>
              <w:rPr>
                <w:rFonts w:ascii="新細明體" w:hAnsi="新細明體"/>
                <w:sz w:val="24"/>
                <w:szCs w:val="24"/>
              </w:rPr>
            </w:pPr>
          </w:p>
          <w:p w14:paraId="3496EED1">
            <w:pPr>
              <w:spacing w:before="240" w:after="0" w:line="240" w:lineRule="auto"/>
              <w:ind w:firstLine="567"/>
              <w:jc w:val="both"/>
              <w:rPr>
                <w:rFonts w:ascii="新細明體" w:hAnsi="新細明體"/>
                <w:sz w:val="24"/>
                <w:szCs w:val="24"/>
              </w:rPr>
            </w:pPr>
          </w:p>
          <w:p w14:paraId="35B8FF9A">
            <w:pPr>
              <w:spacing w:before="240" w:after="0" w:line="240" w:lineRule="auto"/>
              <w:ind w:firstLine="567"/>
              <w:jc w:val="both"/>
              <w:rPr>
                <w:rFonts w:ascii="新細明體" w:hAnsi="新細明體"/>
                <w:sz w:val="24"/>
                <w:szCs w:val="24"/>
              </w:rPr>
            </w:pPr>
          </w:p>
          <w:p w14:paraId="724C5608">
            <w:pPr>
              <w:spacing w:before="240" w:after="0" w:line="240" w:lineRule="auto"/>
              <w:ind w:firstLine="567"/>
              <w:jc w:val="both"/>
              <w:rPr>
                <w:rFonts w:ascii="新細明體" w:hAnsi="新細明體"/>
                <w:sz w:val="24"/>
                <w:szCs w:val="24"/>
              </w:rPr>
            </w:pPr>
          </w:p>
          <w:p w14:paraId="38F52FDE">
            <w:pPr>
              <w:spacing w:after="0" w:line="240" w:lineRule="auto"/>
              <w:jc w:val="center"/>
              <w:rPr>
                <w:rFonts w:ascii="新細明體" w:hAnsi="新細明體"/>
                <w:b/>
                <w:bCs/>
                <w:sz w:val="24"/>
                <w:szCs w:val="24"/>
              </w:rPr>
            </w:pPr>
            <w:r>
              <w:rPr>
                <w:rFonts w:hint="eastAsia" w:ascii="新細明體" w:hAnsi="新細明體"/>
                <w:b/>
                <w:bCs/>
                <w:sz w:val="24"/>
                <w:szCs w:val="24"/>
              </w:rPr>
              <w:t>關鍵字</w:t>
            </w:r>
          </w:p>
          <w:p w14:paraId="1DFFC2C7">
            <w:pPr>
              <w:spacing w:after="0" w:line="240" w:lineRule="auto"/>
              <w:jc w:val="center"/>
              <w:rPr>
                <w:rFonts w:ascii="新細明體" w:hAnsi="新細明體"/>
                <w:sz w:val="24"/>
                <w:szCs w:val="24"/>
              </w:rPr>
            </w:pPr>
          </w:p>
          <w:p w14:paraId="37BB23F9">
            <w:pPr>
              <w:spacing w:after="0" w:line="240" w:lineRule="auto"/>
              <w:jc w:val="both"/>
              <w:rPr>
                <w:rFonts w:ascii="新細明體" w:hAnsi="新細明體"/>
                <w:sz w:val="24"/>
                <w:szCs w:val="24"/>
              </w:rPr>
            </w:pPr>
            <w:r>
              <w:rPr>
                <w:rFonts w:hint="eastAsia" w:ascii="新細明體" w:hAnsi="新細明體"/>
                <w:sz w:val="24"/>
                <w:szCs w:val="24"/>
              </w:rPr>
              <w:t>民粹運動（</w:t>
            </w:r>
            <w:r>
              <w:rPr>
                <w:rFonts w:ascii="新細明體" w:hAnsi="新細明體"/>
                <w:sz w:val="24"/>
                <w:szCs w:val="24"/>
              </w:rPr>
              <w:t>Populism</w:t>
            </w:r>
            <w:r>
              <w:rPr>
                <w:rFonts w:hint="eastAsia" w:ascii="新細明體" w:hAnsi="新細明體"/>
                <w:sz w:val="24"/>
                <w:szCs w:val="24"/>
              </w:rPr>
              <w:t>），社會運動(Social Movement) ，五大訴求，「破窗效應」（</w:t>
            </w:r>
            <w:r>
              <w:rPr>
                <w:rFonts w:ascii="新細明體" w:hAnsi="新細明體"/>
                <w:sz w:val="24"/>
                <w:szCs w:val="24"/>
              </w:rPr>
              <w:t>Broken Windows Theory</w:t>
            </w:r>
            <w:r>
              <w:rPr>
                <w:rFonts w:hint="eastAsia" w:ascii="新細明體" w:hAnsi="新細明體"/>
                <w:sz w:val="24"/>
                <w:szCs w:val="24"/>
              </w:rPr>
              <w:t>），「修補破窗理論」（</w:t>
            </w:r>
            <w:r>
              <w:rPr>
                <w:rFonts w:ascii="新細明體" w:hAnsi="新細明體"/>
                <w:sz w:val="24"/>
                <w:szCs w:val="24"/>
              </w:rPr>
              <w:t>Fixing Broken Windows Theory</w:t>
            </w:r>
            <w:r>
              <w:rPr>
                <w:rFonts w:hint="eastAsia" w:ascii="新細明體" w:hAnsi="新細明體"/>
                <w:sz w:val="24"/>
                <w:szCs w:val="24"/>
              </w:rPr>
              <w:t>），「路西法效應」（</w:t>
            </w:r>
            <w:r>
              <w:rPr>
                <w:rFonts w:ascii="新細明體" w:hAnsi="新細明體"/>
                <w:sz w:val="24"/>
                <w:szCs w:val="24"/>
              </w:rPr>
              <w:t>Lucifer Effect</w:t>
            </w:r>
            <w:r>
              <w:rPr>
                <w:rFonts w:hint="eastAsia" w:ascii="新細明體" w:hAnsi="新細明體"/>
                <w:sz w:val="24"/>
                <w:szCs w:val="24"/>
              </w:rPr>
              <w:t>），零容忍，群體極化效應(</w:t>
            </w:r>
            <w:r>
              <w:rPr>
                <w:rFonts w:ascii="新細明體" w:hAnsi="新細明體"/>
                <w:sz w:val="24"/>
                <w:szCs w:val="24"/>
              </w:rPr>
              <w:t>Group Polarization)</w:t>
            </w:r>
            <w:r>
              <w:rPr>
                <w:rFonts w:hint="eastAsia" w:ascii="新細明體" w:hAnsi="新細明體"/>
                <w:sz w:val="24"/>
                <w:szCs w:val="24"/>
              </w:rPr>
              <w:t>，</w:t>
            </w:r>
            <w:bookmarkStart w:id="5" w:name="_Hlk26953548"/>
            <w:r>
              <w:rPr>
                <w:rFonts w:hint="eastAsia" w:ascii="新細明體" w:hAnsi="新細明體"/>
                <w:sz w:val="24"/>
                <w:szCs w:val="24"/>
              </w:rPr>
              <w:t>查真偽的思考（</w:t>
            </w:r>
            <w:r>
              <w:rPr>
                <w:rFonts w:ascii="新細明體" w:hAnsi="新細明體"/>
                <w:sz w:val="24"/>
                <w:szCs w:val="24"/>
              </w:rPr>
              <w:t>Fact Check</w:t>
            </w:r>
            <w:r>
              <w:rPr>
                <w:rFonts w:hint="eastAsia" w:ascii="新細明體" w:hAnsi="新細明體"/>
                <w:sz w:val="24"/>
                <w:szCs w:val="24"/>
              </w:rPr>
              <w:t>），審慎責任(</w:t>
            </w:r>
            <w:r>
              <w:rPr>
                <w:rFonts w:ascii="新細明體" w:hAnsi="新細明體"/>
                <w:sz w:val="24"/>
                <w:szCs w:val="24"/>
              </w:rPr>
              <w:t>D</w:t>
            </w:r>
            <w:r>
              <w:rPr>
                <w:rFonts w:hint="eastAsia" w:ascii="新細明體" w:hAnsi="新細明體"/>
                <w:sz w:val="24"/>
                <w:szCs w:val="24"/>
              </w:rPr>
              <w:t>uty of care</w:t>
            </w:r>
            <w:bookmarkEnd w:id="5"/>
            <w:r>
              <w:rPr>
                <w:rFonts w:hint="eastAsia" w:ascii="新細明體" w:hAnsi="新細明體"/>
                <w:sz w:val="24"/>
                <w:szCs w:val="24"/>
              </w:rPr>
              <w:t>) ，價值要素（</w:t>
            </w:r>
            <w:r>
              <w:rPr>
                <w:rFonts w:ascii="新細明體" w:hAnsi="新細明體"/>
                <w:sz w:val="24"/>
                <w:szCs w:val="24"/>
              </w:rPr>
              <w:t>Element of Value</w:t>
            </w:r>
            <w:r>
              <w:rPr>
                <w:rFonts w:hint="eastAsia" w:ascii="新細明體" w:hAnsi="新細明體"/>
                <w:sz w:val="24"/>
                <w:szCs w:val="24"/>
              </w:rPr>
              <w:t>），傳家寶(</w:t>
            </w:r>
            <w:r>
              <w:rPr>
                <w:rFonts w:ascii="新細明體" w:hAnsi="新細明體"/>
                <w:sz w:val="24"/>
                <w:szCs w:val="24"/>
              </w:rPr>
              <w:t>Heirloom)</w:t>
            </w:r>
            <w:r>
              <w:rPr>
                <w:rFonts w:hint="eastAsia" w:ascii="新細明體" w:hAnsi="新細明體"/>
                <w:sz w:val="24"/>
                <w:szCs w:val="24"/>
              </w:rPr>
              <w:t>，超凡脫俗旳神化論（</w:t>
            </w:r>
            <w:r>
              <w:rPr>
                <w:rFonts w:ascii="新細明體" w:hAnsi="新細明體"/>
                <w:sz w:val="24"/>
                <w:szCs w:val="24"/>
              </w:rPr>
              <w:t>Self-transcendence</w:t>
            </w:r>
            <w:r>
              <w:rPr>
                <w:rFonts w:hint="eastAsia" w:ascii="新細明體" w:hAnsi="新細明體"/>
                <w:sz w:val="24"/>
                <w:szCs w:val="24"/>
              </w:rPr>
              <w:t>），審慎責任，處境的影響力（Situational Forces），去個性化（</w:t>
            </w:r>
            <w:r>
              <w:rPr>
                <w:rFonts w:hint="default" w:ascii="新細明體" w:hAnsi="新細明體"/>
                <w:sz w:val="24"/>
                <w:szCs w:val="24"/>
              </w:rPr>
              <w:t>DE-individuation</w:t>
            </w:r>
            <w:r>
              <w:rPr>
                <w:rFonts w:hint="eastAsia" w:ascii="新細明體" w:hAnsi="新細明體"/>
                <w:sz w:val="24"/>
                <w:szCs w:val="24"/>
              </w:rPr>
              <w:t>），從眾壓力（Conformity Pressure），團體認同（Group Identity）</w:t>
            </w:r>
          </w:p>
          <w:p w14:paraId="30B57E3C">
            <w:pPr>
              <w:spacing w:after="0" w:line="240" w:lineRule="auto"/>
              <w:rPr>
                <w:rFonts w:ascii="新細明體" w:hAnsi="新細明體"/>
                <w:sz w:val="24"/>
                <w:szCs w:val="24"/>
              </w:rPr>
            </w:pPr>
          </w:p>
        </w:tc>
      </w:tr>
    </w:tbl>
    <w:p w14:paraId="0ED17FB9">
      <w:pPr>
        <w:widowControl/>
        <w:spacing w:line="240" w:lineRule="auto"/>
        <w:rPr>
          <w:rFonts w:ascii="新細明體" w:hAnsi="新細明體"/>
          <w:b/>
          <w:bCs/>
          <w:color w:val="4472C4" w:themeColor="accent1"/>
          <w:sz w:val="24"/>
          <w:szCs w:val="24"/>
          <w14:textFill>
            <w14:solidFill>
              <w14:schemeClr w14:val="accent1"/>
            </w14:solidFill>
          </w14:textFill>
        </w:rPr>
      </w:pPr>
      <w:bookmarkStart w:id="6" w:name="_Hlk23323291"/>
      <w:r>
        <w:rPr>
          <w:rFonts w:ascii="新細明體" w:hAnsi="新細明體"/>
          <w:b/>
          <w:bCs/>
          <w:color w:val="4472C4" w:themeColor="accent1"/>
          <w:sz w:val="24"/>
          <w:szCs w:val="24"/>
          <w14:textFill>
            <w14:solidFill>
              <w14:schemeClr w14:val="accent1"/>
            </w14:solidFill>
          </w14:textFill>
        </w:rPr>
        <w:br w:type="page"/>
      </w:r>
    </w:p>
    <w:p w14:paraId="1728F58E">
      <w:pPr>
        <w:pStyle w:val="2"/>
        <w:shd w:val="clear" w:color="auto" w:fill="FEF2CC" w:themeFill="accent4" w:themeFillTint="33"/>
        <w:spacing w:after="240" w:line="240" w:lineRule="auto"/>
        <w:jc w:val="center"/>
        <w:rPr>
          <w:rFonts w:ascii="新細明體" w:hAnsi="新細明體" w:eastAsia="新細明體"/>
          <w:color w:val="auto"/>
          <w:sz w:val="24"/>
          <w:szCs w:val="24"/>
        </w:rPr>
      </w:pPr>
      <w:bookmarkStart w:id="7" w:name="_Toc27054978"/>
      <w:r>
        <w:rPr>
          <w:rFonts w:hint="eastAsia" w:ascii="新細明體" w:hAnsi="新細明體" w:eastAsia="新細明體"/>
          <w:color w:val="auto"/>
          <w:sz w:val="24"/>
          <w:szCs w:val="24"/>
        </w:rPr>
        <w:t>引言</w:t>
      </w:r>
      <w:bookmarkEnd w:id="7"/>
    </w:p>
    <w:p w14:paraId="06B9AF03">
      <w:pPr>
        <w:spacing w:line="240" w:lineRule="auto"/>
        <w:jc w:val="both"/>
        <w:rPr>
          <w:rFonts w:ascii="新細明體" w:hAnsi="新細明體"/>
          <w:sz w:val="24"/>
          <w:szCs w:val="24"/>
        </w:rPr>
      </w:pPr>
      <w:r>
        <w:rPr>
          <w:rFonts w:hint="eastAsia" w:ascii="新細明體" w:hAnsi="新細明體"/>
          <w:sz w:val="24"/>
          <w:szCs w:val="24"/>
        </w:rPr>
        <w:t>2014年香港發生「佔中」運動，延至2019年再催生了「反送中」運動，持續至今，香港示威以「逃犯條例反送中」開始，訴求達到後，示威群眾的訴求卻又改變為五大訴求（附件 1）。訴求多次調整，以「爭取民主」的「雙普選」為主軸，對違法的示威群眾「特赦」，以及組織「獨立調查委員會」調查警方是否濫權等為主，進而變質成為帶有「強烈反中」、「港獨」的目的，「追求民主」看來衹是為達目標的口號和借口，而特區政府一直以加強溝通和「止暴制亂」決策回應，效用成疑。</w:t>
      </w:r>
    </w:p>
    <w:p w14:paraId="48340737">
      <w:pPr>
        <w:spacing w:line="240" w:lineRule="auto"/>
        <w:jc w:val="both"/>
        <w:rPr>
          <w:rFonts w:ascii="新細明體" w:hAnsi="新細明體"/>
          <w:sz w:val="24"/>
          <w:szCs w:val="24"/>
        </w:rPr>
      </w:pPr>
      <w:r>
        <w:rPr>
          <w:rFonts w:hint="eastAsia" w:ascii="新細明體" w:hAnsi="新細明體"/>
          <w:sz w:val="24"/>
          <w:szCs w:val="24"/>
        </w:rPr>
        <w:t>明顯兩次運動源頭都是民粹運動(Populism) (附件 2)，估計反送中示威被捕累積人數，至 11 月 30 日已超過</w:t>
      </w:r>
      <w:r>
        <w:rPr>
          <w:rFonts w:ascii="新細明體" w:hAnsi="新細明體"/>
          <w:sz w:val="24"/>
          <w:szCs w:val="24"/>
        </w:rPr>
        <w:t>6,000</w:t>
      </w:r>
      <w:r>
        <w:rPr>
          <w:rFonts w:hint="eastAsia" w:ascii="新細明體" w:hAnsi="新細明體"/>
          <w:sz w:val="24"/>
          <w:szCs w:val="24"/>
        </w:rPr>
        <w:t>人。隨著時間過去，無大台的民粹運動已發展為一群擁有共同目標和方向的人，有意識、有計劃地破壞社會秩序的社會運動(Social Movement) ，至今沒有停止的跡象。</w:t>
      </w:r>
    </w:p>
    <w:p w14:paraId="31EB9250">
      <w:pPr>
        <w:spacing w:line="240" w:lineRule="auto"/>
        <w:rPr>
          <w:rFonts w:ascii="新細明體" w:hAnsi="新細明體"/>
          <w:sz w:val="24"/>
          <w:szCs w:val="24"/>
        </w:rPr>
      </w:pPr>
      <w:r>
        <w:rPr>
          <w:rFonts w:ascii="新細明體" w:hAnsi="新細明體"/>
          <w:sz w:val="24"/>
          <w:szCs w:val="24"/>
        </w:rPr>
        <w:drawing>
          <wp:inline distT="0" distB="0" distL="0" distR="0">
            <wp:extent cx="5731510" cy="26479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31510" cy="2647950"/>
                    </a:xfrm>
                    <a:prstGeom prst="rect">
                      <a:avLst/>
                    </a:prstGeom>
                    <a:noFill/>
                    <a:ln>
                      <a:noFill/>
                    </a:ln>
                  </pic:spPr>
                </pic:pic>
              </a:graphicData>
            </a:graphic>
          </wp:inline>
        </w:drawing>
      </w:r>
    </w:p>
    <w:p w14:paraId="510B06F6">
      <w:pPr>
        <w:spacing w:line="240" w:lineRule="auto"/>
        <w:rPr>
          <w:rFonts w:ascii="新細明體" w:hAnsi="新細明體"/>
          <w:sz w:val="24"/>
          <w:szCs w:val="24"/>
        </w:rPr>
      </w:pPr>
    </w:p>
    <w:p w14:paraId="1BB49BD1">
      <w:pPr>
        <w:spacing w:line="240" w:lineRule="auto"/>
        <w:rPr>
          <w:rFonts w:ascii="新細明體" w:hAnsi="新細明體"/>
          <w:sz w:val="24"/>
          <w:szCs w:val="24"/>
        </w:rPr>
      </w:pPr>
    </w:p>
    <w:p w14:paraId="29800038">
      <w:pPr>
        <w:spacing w:line="240" w:lineRule="auto"/>
        <w:rPr>
          <w:rFonts w:ascii="新細明體" w:hAnsi="新細明體"/>
          <w:sz w:val="24"/>
          <w:szCs w:val="24"/>
        </w:rPr>
      </w:pPr>
      <w:r>
        <w:rPr>
          <w:rFonts w:ascii="新細明體" w:hAnsi="新細明體"/>
          <w:sz w:val="24"/>
          <w:szCs w:val="24"/>
        </w:rPr>
        <w:drawing>
          <wp:inline distT="0" distB="0" distL="0" distR="0">
            <wp:extent cx="5695950" cy="2638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5797673" cy="2685544"/>
                    </a:xfrm>
                    <a:prstGeom prst="rect">
                      <a:avLst/>
                    </a:prstGeom>
                  </pic:spPr>
                </pic:pic>
              </a:graphicData>
            </a:graphic>
          </wp:inline>
        </w:drawing>
      </w:r>
    </w:p>
    <w:p w14:paraId="1D7EB632">
      <w:pPr>
        <w:widowControl/>
        <w:rPr>
          <w:rFonts w:ascii="新細明體" w:hAnsi="新細明體"/>
          <w:b/>
          <w:bCs/>
          <w:sz w:val="24"/>
          <w:szCs w:val="24"/>
        </w:rPr>
      </w:pPr>
      <w:r>
        <w:rPr>
          <w:rFonts w:ascii="新細明體" w:hAnsi="新細明體"/>
          <w:b/>
          <w:bCs/>
          <w:sz w:val="24"/>
          <w:szCs w:val="24"/>
        </w:rPr>
        <w:br w:type="page"/>
      </w:r>
    </w:p>
    <w:p w14:paraId="6E4901E0">
      <w:pPr>
        <w:pStyle w:val="2"/>
        <w:shd w:val="clear" w:color="auto" w:fill="FEF2CC" w:themeFill="accent4" w:themeFillTint="33"/>
        <w:spacing w:after="240"/>
        <w:jc w:val="center"/>
        <w:rPr>
          <w:color w:val="FFC000" w:themeColor="accent4"/>
          <w:sz w:val="24"/>
          <w:szCs w:val="24"/>
          <w14:textFill>
            <w14:solidFill>
              <w14:schemeClr w14:val="accent4"/>
            </w14:solidFill>
          </w14:textFill>
        </w:rPr>
      </w:pPr>
      <w:bookmarkStart w:id="8" w:name="_Toc27054979"/>
      <w:r>
        <w:rPr>
          <w:rFonts w:hint="eastAsia"/>
          <w:sz w:val="24"/>
          <w:szCs w:val="24"/>
        </w:rPr>
        <w:t>研究目的</w:t>
      </w:r>
      <w:bookmarkEnd w:id="8"/>
    </w:p>
    <w:p w14:paraId="5647776A">
      <w:pPr>
        <w:spacing w:line="240" w:lineRule="auto"/>
        <w:rPr>
          <w:rFonts w:ascii="新細明體" w:hAnsi="新細明體"/>
          <w:sz w:val="24"/>
          <w:szCs w:val="24"/>
        </w:rPr>
      </w:pPr>
      <w:r>
        <w:rPr>
          <w:rFonts w:hint="eastAsia" w:ascii="新細明體" w:hAnsi="新細明體"/>
          <w:sz w:val="24"/>
          <w:szCs w:val="24"/>
        </w:rPr>
        <w:t>這個研究報告目的是</w:t>
      </w:r>
      <w:bookmarkStart w:id="9" w:name="_Hlk27054157"/>
      <w:r>
        <w:rPr>
          <w:rFonts w:hint="eastAsia" w:ascii="新細明體" w:hAnsi="新細明體"/>
          <w:sz w:val="24"/>
          <w:szCs w:val="24"/>
        </w:rPr>
        <w:t>以「破窗效應」理論與 「路西法效應」分析「</w:t>
      </w:r>
      <w:r>
        <w:rPr>
          <w:rFonts w:ascii="新細明體" w:hAnsi="新細明體"/>
          <w:sz w:val="24"/>
          <w:szCs w:val="24"/>
        </w:rPr>
        <w:t>21</w:t>
      </w:r>
      <w:r>
        <w:rPr>
          <w:rFonts w:hint="eastAsia" w:ascii="新細明體" w:hAnsi="新細明體"/>
          <w:sz w:val="24"/>
          <w:szCs w:val="24"/>
        </w:rPr>
        <w:t>世紀香港社會運動」的影響和修補建議</w:t>
      </w:r>
      <w:bookmarkEnd w:id="9"/>
      <w:r>
        <w:rPr>
          <w:rFonts w:hint="eastAsia" w:ascii="新細明體" w:hAnsi="新細明體"/>
          <w:sz w:val="24"/>
          <w:szCs w:val="24"/>
        </w:rPr>
        <w:t>。研究的流程是:</w:t>
      </w:r>
    </w:p>
    <w:p w14:paraId="7A577DD2">
      <w:pPr>
        <w:pStyle w:val="24"/>
        <w:numPr>
          <w:ilvl w:val="0"/>
          <w:numId w:val="1"/>
        </w:numPr>
        <w:spacing w:line="240" w:lineRule="auto"/>
        <w:ind w:left="567" w:hanging="567"/>
        <w:jc w:val="both"/>
        <w:rPr>
          <w:rFonts w:ascii="新細明體" w:hAnsi="新細明體"/>
          <w:sz w:val="24"/>
          <w:szCs w:val="24"/>
        </w:rPr>
      </w:pPr>
      <w:r>
        <w:rPr>
          <w:rFonts w:hint="eastAsia" w:ascii="新細明體" w:hAnsi="新細明體"/>
          <w:sz w:val="24"/>
          <w:szCs w:val="24"/>
        </w:rPr>
        <w:t>首先以文獻回顧了解由「民粹風潮」如何發展至</w:t>
      </w:r>
      <w:bookmarkStart w:id="10" w:name="_Hlk26880411"/>
      <w:r>
        <w:rPr>
          <w:rFonts w:hint="eastAsia" w:ascii="新細明體" w:hAnsi="新細明體"/>
          <w:sz w:val="24"/>
          <w:szCs w:val="24"/>
        </w:rPr>
        <w:t>「社會運動」</w:t>
      </w:r>
      <w:bookmarkEnd w:id="10"/>
      <w:r>
        <w:rPr>
          <w:rFonts w:hint="eastAsia" w:ascii="新細明體" w:hAnsi="新細明體"/>
          <w:sz w:val="24"/>
          <w:szCs w:val="24"/>
        </w:rPr>
        <w:t>的趨勢，破窗效應理論和路西法效應理論的演變；</w:t>
      </w:r>
    </w:p>
    <w:p w14:paraId="3944ECF9">
      <w:pPr>
        <w:pStyle w:val="24"/>
        <w:numPr>
          <w:ilvl w:val="0"/>
          <w:numId w:val="1"/>
        </w:numPr>
        <w:spacing w:line="240" w:lineRule="auto"/>
        <w:ind w:left="567" w:hanging="567"/>
        <w:jc w:val="both"/>
        <w:rPr>
          <w:rFonts w:ascii="新細明體" w:hAnsi="新細明體"/>
          <w:sz w:val="24"/>
          <w:szCs w:val="24"/>
        </w:rPr>
      </w:pPr>
      <w:r>
        <w:rPr>
          <w:rFonts w:hint="eastAsia" w:ascii="新細明體" w:hAnsi="新細明體"/>
          <w:sz w:val="24"/>
          <w:szCs w:val="24"/>
        </w:rPr>
        <w:t>然後再分析1)資訊科技高速發展的影響，2)新社交媒體環境，3)人生價值觀的改變，4) 民粹狂潮，5) 公理標準的顛倒，五個因素對「香港社會運動」的影響；</w:t>
      </w:r>
    </w:p>
    <w:p w14:paraId="37880634">
      <w:pPr>
        <w:pStyle w:val="24"/>
        <w:numPr>
          <w:ilvl w:val="0"/>
          <w:numId w:val="1"/>
        </w:numPr>
        <w:spacing w:line="240" w:lineRule="auto"/>
        <w:ind w:left="567" w:hanging="567"/>
        <w:jc w:val="both"/>
        <w:rPr>
          <w:rFonts w:ascii="新細明體" w:hAnsi="新細明體"/>
          <w:sz w:val="24"/>
          <w:szCs w:val="24"/>
        </w:rPr>
      </w:pPr>
      <w:r>
        <w:rPr>
          <w:rFonts w:hint="eastAsia" w:ascii="新細明體" w:hAnsi="新細明體"/>
          <w:sz w:val="24"/>
          <w:szCs w:val="24"/>
        </w:rPr>
        <w:t>再提出修補建議和解決困局的方向。</w:t>
      </w:r>
    </w:p>
    <w:p w14:paraId="02F33167">
      <w:pPr>
        <w:pStyle w:val="2"/>
        <w:shd w:val="clear" w:color="auto" w:fill="FEF2CC" w:themeFill="accent4" w:themeFillTint="33"/>
        <w:snapToGrid w:val="0"/>
        <w:spacing w:after="120"/>
        <w:jc w:val="center"/>
        <w:rPr>
          <w:rFonts w:eastAsia="新細明體"/>
          <w:color w:val="FFC000" w:themeColor="accent4"/>
          <w:sz w:val="24"/>
          <w:szCs w:val="24"/>
          <w:lang w:eastAsia="zh-TW"/>
          <w14:textFill>
            <w14:solidFill>
              <w14:schemeClr w14:val="accent4"/>
            </w14:solidFill>
          </w14:textFill>
        </w:rPr>
      </w:pPr>
      <w:bookmarkStart w:id="11" w:name="_Toc27054980"/>
      <w:r>
        <w:rPr>
          <w:rFonts w:hint="eastAsia"/>
          <w:sz w:val="24"/>
          <w:szCs w:val="24"/>
        </w:rPr>
        <w:t>研究</w:t>
      </w:r>
      <w:r>
        <w:rPr>
          <w:rFonts w:hint="eastAsia" w:eastAsia="新細明體"/>
          <w:sz w:val="24"/>
          <w:szCs w:val="24"/>
          <w:lang w:eastAsia="zh-TW"/>
        </w:rPr>
        <w:t>方法</w:t>
      </w:r>
      <w:bookmarkEnd w:id="11"/>
    </w:p>
    <w:p w14:paraId="1FC1C9FD">
      <w:pPr>
        <w:shd w:val="clear" w:color="auto" w:fill="FFFFFF" w:themeFill="background1"/>
        <w:spacing w:line="240" w:lineRule="auto"/>
        <w:jc w:val="both"/>
        <w:rPr>
          <w:rFonts w:ascii="新細明體" w:hAnsi="新細明體"/>
          <w:sz w:val="24"/>
          <w:szCs w:val="24"/>
        </w:rPr>
      </w:pPr>
      <w:r>
        <w:rPr>
          <w:rFonts w:hint="eastAsia" w:ascii="新細明體" w:hAnsi="新細明體"/>
          <w:sz w:val="24"/>
          <w:szCs w:val="24"/>
        </w:rPr>
        <w:t>迎接複雜、跨領域、時間急促和低成本的挑戰，本人組織了一個臨時的智囊團，成員包括：學術界、證券界、會計界、金融界、企管顧問、教授、學者、大學教授、博士、學會會長、會計師、律師、財務顧問、媒體主編、牧師、科技專才等，集思廣益，樂意分享知識和技術專長，研究以「破窗效應」理論與 「路西法效應」分析「21世紀香港社會運動」的影響和修補建議。</w:t>
      </w:r>
    </w:p>
    <w:p w14:paraId="319B43E1">
      <w:pPr>
        <w:pStyle w:val="2"/>
        <w:shd w:val="clear" w:color="auto" w:fill="FEF2CC" w:themeFill="accent4" w:themeFillTint="33"/>
        <w:spacing w:after="240" w:line="240" w:lineRule="auto"/>
        <w:jc w:val="center"/>
        <w:rPr>
          <w:rFonts w:ascii="新細明體" w:hAnsi="新細明體" w:eastAsia="新細明體"/>
          <w:sz w:val="24"/>
          <w:szCs w:val="24"/>
        </w:rPr>
      </w:pPr>
      <w:bookmarkStart w:id="12" w:name="_Toc27054981"/>
      <w:r>
        <w:rPr>
          <w:rFonts w:hint="eastAsia" w:ascii="新細明體" w:hAnsi="新細明體" w:eastAsia="新細明體"/>
          <w:sz w:val="24"/>
          <w:szCs w:val="24"/>
        </w:rPr>
        <w:t>文獻回顧</w:t>
      </w:r>
      <w:bookmarkEnd w:id="12"/>
    </w:p>
    <w:p w14:paraId="18EFA477">
      <w:pPr>
        <w:spacing w:before="240" w:after="240" w:line="240" w:lineRule="auto"/>
        <w:rPr>
          <w:b/>
          <w:bCs/>
          <w:color w:val="4472C4" w:themeColor="accent1"/>
          <w14:textFill>
            <w14:solidFill>
              <w14:schemeClr w14:val="accent1"/>
            </w14:solidFill>
          </w14:textFill>
        </w:rPr>
      </w:pPr>
      <w:r>
        <w:rPr>
          <w:rFonts w:hint="eastAsia"/>
          <w:b/>
          <w:bCs/>
          <w:color w:val="4472C4" w:themeColor="accent1"/>
          <w14:textFill>
            <w14:solidFill>
              <w14:schemeClr w14:val="accent1"/>
            </w14:solidFill>
          </w14:textFill>
        </w:rPr>
        <w:t xml:space="preserve">社會運動(Social Movements) </w:t>
      </w:r>
    </w:p>
    <w:p w14:paraId="6C8CE154">
      <w:pPr>
        <w:jc w:val="both"/>
      </w:pPr>
      <w:r>
        <w:rPr>
          <w:rFonts w:hint="eastAsia"/>
        </w:rPr>
        <w:t>從美國「佔領華爾街」到法國「不眠之夜」，</w:t>
      </w:r>
      <w:bookmarkStart w:id="13" w:name="_Hlk27049223"/>
      <w:r>
        <w:rPr>
          <w:rFonts w:hint="eastAsia"/>
        </w:rPr>
        <w:t>社會運動</w:t>
      </w:r>
      <w:bookmarkEnd w:id="13"/>
      <w:r>
        <w:rPr>
          <w:rFonts w:hint="eastAsia"/>
        </w:rPr>
        <w:t>逐漸變成無領導、無中心、直接以民主的「無政府主義」為主，在群眾中，沒有人有資格規定具體的訴求，因無法囊括所有參與者在討論中的訴求。之前，赫伯爾（Rudolf Heberle）的著作：「Social Movements」中說，社會運動是指一群有組織的人，齊心同行，以爭取改善當時的現狀為目標，活動範圍，可遍及世界各地。 (Heberle, 2006)</w:t>
      </w:r>
      <w:r>
        <w:t xml:space="preserve"> </w:t>
      </w:r>
      <w:r>
        <w:rPr>
          <w:rFonts w:hint="eastAsia"/>
        </w:rPr>
        <w:t>而卡瑪倫（William Bruce Camerom）的「現代社會運動」（Modern Social Movement）中則認為社會運動跟我們的生活息息相關，以實現群眾認為更優越生活目標的一種手段。Donatella della Porta和Elena Pavan對社會運動的另一個角度理解為進步社運。運動不但代表官民對決，也可視為開拓、創造另一社會藍圖的契機。正面看，社運的價值除了以各種行動策略與執政者角力，也在生產新遠見、新思維的論述，從而改造習以為常的舊有態度和觀念。</w:t>
      </w:r>
      <w:sdt>
        <w:sdtPr>
          <w:rPr>
            <w:rFonts w:hint="eastAsia"/>
          </w:rPr>
          <w:id w:val="1202285511"/>
        </w:sdtPr>
        <w:sdtEndPr>
          <w:rPr>
            <w:rFonts w:hint="eastAsia"/>
          </w:rPr>
        </w:sdtEndPr>
        <w:sdtContent>
          <w:r>
            <w:fldChar w:fldCharType="begin"/>
          </w:r>
          <w:r>
            <w:rPr>
              <w:rFonts w:hAnsiTheme="minorHAnsi"/>
            </w:rPr>
            <w:instrText xml:space="preserve"> CITATION Don17 \l 15369 </w:instrText>
          </w:r>
          <w:r>
            <w:fldChar w:fldCharType="separate"/>
          </w:r>
          <w:r>
            <w:rPr>
              <w:rFonts w:hAnsiTheme="minorHAnsi"/>
            </w:rPr>
            <w:t xml:space="preserve"> (Pavan, 2017)</w:t>
          </w:r>
          <w:r>
            <w:fldChar w:fldCharType="end"/>
          </w:r>
        </w:sdtContent>
      </w:sdt>
    </w:p>
    <w:p w14:paraId="2D2B23E4">
      <w:pPr>
        <w:jc w:val="both"/>
      </w:pPr>
      <w:r>
        <w:t>21</w:t>
      </w:r>
      <w:r>
        <w:rPr>
          <w:rFonts w:hint="eastAsia"/>
        </w:rPr>
        <w:t>世紀的社會</w:t>
      </w:r>
      <w:bookmarkStart w:id="14" w:name="_Hlk27049701"/>
      <w:r>
        <w:rPr>
          <w:rFonts w:hint="eastAsia"/>
        </w:rPr>
        <w:t>運動參與者</w:t>
      </w:r>
      <w:bookmarkEnd w:id="14"/>
      <w:r>
        <w:rPr>
          <w:rFonts w:hint="eastAsia"/>
        </w:rPr>
        <w:t>，通常具有直接或間接的網絡關係，行動一至地支持該運動的訴求或理念，末必支持發起運動的組織，抗爭劇碼根據運動參與者的結構、概念不斷改變。例如香港社會運動的參與者，由最初各行各業的平民，後期變成以年青人和學生為主，政客的加入，為選舉和選票而反，行動劇碼，也由示威、抗議變成暴動，真是一發不可收拾。</w:t>
      </w:r>
    </w:p>
    <w:p w14:paraId="266BA99B">
      <w:pPr>
        <w:pStyle w:val="2"/>
        <w:spacing w:before="360" w:after="360" w:line="240" w:lineRule="auto"/>
        <w:rPr>
          <w:rFonts w:ascii="新細明體" w:hAnsi="新細明體" w:eastAsia="新細明體"/>
          <w:color w:val="4472C4" w:themeColor="accent1"/>
          <w:sz w:val="24"/>
          <w:szCs w:val="24"/>
          <w14:textFill>
            <w14:solidFill>
              <w14:schemeClr w14:val="accent1"/>
            </w14:solidFill>
          </w14:textFill>
        </w:rPr>
      </w:pPr>
      <w:bookmarkStart w:id="15" w:name="_Toc27054982"/>
      <w:r>
        <w:rPr>
          <w:rFonts w:hint="eastAsia" w:ascii="新細明體" w:hAnsi="新細明體" w:eastAsia="新細明體"/>
          <w:color w:val="4472C4" w:themeColor="accent1"/>
          <w:sz w:val="24"/>
          <w:szCs w:val="24"/>
          <w14:textFill>
            <w14:solidFill>
              <w14:schemeClr w14:val="accent1"/>
            </w14:solidFill>
          </w14:textFill>
        </w:rPr>
        <w:t>破窗效應理論(</w:t>
      </w:r>
      <w:r>
        <w:rPr>
          <w:rFonts w:ascii="新細明體" w:hAnsi="新細明體" w:eastAsia="新細明體"/>
          <w:color w:val="4472C4" w:themeColor="accent1"/>
          <w:sz w:val="24"/>
          <w:szCs w:val="24"/>
          <w14:textFill>
            <w14:solidFill>
              <w14:schemeClr w14:val="accent1"/>
            </w14:solidFill>
          </w14:textFill>
        </w:rPr>
        <w:t>Broken Windows Theory)</w:t>
      </w:r>
      <w:bookmarkEnd w:id="15"/>
    </w:p>
    <w:p w14:paraId="4C4A45E3">
      <w:pPr>
        <w:pStyle w:val="3"/>
        <w:spacing w:before="120" w:after="120"/>
        <w:rPr>
          <w:rFonts w:ascii="新細明體" w:hAnsi="新細明體" w:eastAsia="新細明體"/>
          <w:sz w:val="24"/>
          <w:szCs w:val="24"/>
        </w:rPr>
      </w:pPr>
      <w:bookmarkStart w:id="16" w:name="_Hlk23234737"/>
      <w:bookmarkStart w:id="17" w:name="_Toc27054983"/>
      <w:r>
        <w:rPr>
          <w:rFonts w:hint="eastAsia" w:ascii="新細明體" w:hAnsi="新細明體" w:eastAsia="新細明體"/>
          <w:color w:val="ED7D31" w:themeColor="accent2"/>
          <w:sz w:val="24"/>
          <w:szCs w:val="24"/>
          <w14:textFill>
            <w14:solidFill>
              <w14:schemeClr w14:val="accent2"/>
            </w14:solidFill>
          </w14:textFill>
        </w:rPr>
        <w:t>破窗效應</w:t>
      </w:r>
      <w:bookmarkEnd w:id="6"/>
      <w:bookmarkEnd w:id="16"/>
      <w:r>
        <w:rPr>
          <w:rFonts w:hint="eastAsia" w:ascii="新細明體" w:hAnsi="新細明體" w:eastAsia="新細明體"/>
          <w:color w:val="ED7D31" w:themeColor="accent2"/>
          <w:sz w:val="24"/>
          <w:szCs w:val="24"/>
          <w14:textFill>
            <w14:solidFill>
              <w14:schemeClr w14:val="accent2"/>
            </w14:solidFill>
          </w14:textFill>
        </w:rPr>
        <w:t>的源頭</w:t>
      </w:r>
      <w:bookmarkEnd w:id="17"/>
      <w:r>
        <w:rPr>
          <w:rFonts w:hint="eastAsia" w:ascii="新細明體" w:hAnsi="新細明體" w:eastAsia="新細明體"/>
          <w:color w:val="ED7D31" w:themeColor="accent2"/>
          <w:sz w:val="24"/>
          <w:szCs w:val="24"/>
          <w14:textFill>
            <w14:solidFill>
              <w14:schemeClr w14:val="accent2"/>
            </w14:solidFill>
          </w14:textFill>
        </w:rPr>
        <w:t xml:space="preserve"> </w:t>
      </w:r>
      <w:r>
        <w:rPr>
          <w:rFonts w:ascii="新細明體" w:hAnsi="新細明體" w:eastAsia="新細明體"/>
          <w:color w:val="ED7D31" w:themeColor="accent2"/>
          <w:sz w:val="24"/>
          <w:szCs w:val="24"/>
          <w14:textFill>
            <w14:solidFill>
              <w14:schemeClr w14:val="accent2"/>
            </w14:solidFill>
          </w14:textFill>
        </w:rPr>
        <w:t xml:space="preserve"> </w:t>
      </w:r>
      <w:r>
        <w:rPr>
          <w:rFonts w:ascii="新細明體" w:hAnsi="新細明體" w:eastAsia="新細明體"/>
          <w:sz w:val="24"/>
          <w:szCs w:val="24"/>
        </w:rPr>
        <w:t xml:space="preserve"> </w:t>
      </w:r>
    </w:p>
    <w:p w14:paraId="0E4C8B24">
      <w:pPr>
        <w:spacing w:line="240" w:lineRule="auto"/>
        <w:jc w:val="both"/>
        <w:rPr>
          <w:rFonts w:ascii="新細明體" w:hAnsi="新細明體"/>
          <w:sz w:val="24"/>
          <w:szCs w:val="24"/>
        </w:rPr>
      </w:pPr>
      <w:r>
        <w:rPr>
          <w:rFonts w:hint="eastAsia" w:ascii="新細明體" w:hAnsi="新細明體"/>
          <w:sz w:val="24"/>
          <w:szCs w:val="24"/>
        </w:rPr>
        <w:t>早於1969年，現年8</w:t>
      </w:r>
      <w:r>
        <w:rPr>
          <w:rFonts w:ascii="新細明體" w:hAnsi="新細明體"/>
          <w:sz w:val="24"/>
          <w:szCs w:val="24"/>
        </w:rPr>
        <w:t>6</w:t>
      </w:r>
      <w:r>
        <w:rPr>
          <w:rFonts w:hint="eastAsia" w:ascii="新細明體" w:hAnsi="新細明體"/>
          <w:sz w:val="24"/>
          <w:szCs w:val="24"/>
        </w:rPr>
        <w:t>歲的美國史丹福大學心理學家</w:t>
      </w:r>
      <w:bookmarkStart w:id="18" w:name="_Hlk23159097"/>
      <w:bookmarkStart w:id="19" w:name="_Hlk23159763"/>
      <w:r>
        <w:rPr>
          <w:rFonts w:hint="eastAsia" w:ascii="新細明體" w:hAnsi="新細明體"/>
          <w:sz w:val="24"/>
          <w:szCs w:val="24"/>
        </w:rPr>
        <w:t>菲利</w:t>
      </w:r>
      <w:bookmarkEnd w:id="18"/>
      <w:r>
        <w:rPr>
          <w:rFonts w:hint="eastAsia" w:ascii="新細明體" w:hAnsi="新細明體"/>
          <w:sz w:val="24"/>
          <w:szCs w:val="24"/>
        </w:rPr>
        <w:t>．津巴多</w:t>
      </w:r>
      <w:bookmarkEnd w:id="19"/>
      <w:r>
        <w:rPr>
          <w:rFonts w:hint="eastAsia" w:ascii="新細明體" w:hAnsi="新細明體"/>
          <w:sz w:val="24"/>
          <w:szCs w:val="24"/>
        </w:rPr>
        <w:t>（Philip Zimbardo），安排了一個社會實驗，將兩輛沒有車牌的私家車，分別棄置在紐約市的布朗克斯（</w:t>
      </w:r>
      <w:r>
        <w:rPr>
          <w:rFonts w:ascii="新細明體" w:hAnsi="新細明體"/>
          <w:sz w:val="24"/>
          <w:szCs w:val="24"/>
        </w:rPr>
        <w:t>Bronx</w:t>
      </w:r>
      <w:r>
        <w:rPr>
          <w:rFonts w:hint="eastAsia" w:ascii="新細明體" w:hAnsi="新細明體"/>
          <w:sz w:val="24"/>
          <w:szCs w:val="24"/>
        </w:rPr>
        <w:t>）的</w:t>
      </w:r>
      <w:bookmarkStart w:id="20" w:name="_Hlk23158955"/>
      <w:r>
        <w:rPr>
          <w:rFonts w:hint="eastAsia" w:ascii="新細明體" w:hAnsi="新細明體"/>
          <w:sz w:val="24"/>
          <w:szCs w:val="24"/>
        </w:rPr>
        <w:t>貧民區</w:t>
      </w:r>
      <w:bookmarkEnd w:id="20"/>
      <w:r>
        <w:rPr>
          <w:rFonts w:hint="eastAsia" w:ascii="新細明體" w:hAnsi="新細明體"/>
          <w:sz w:val="24"/>
          <w:szCs w:val="24"/>
        </w:rPr>
        <w:t>，和加州的</w:t>
      </w:r>
      <w:bookmarkStart w:id="21" w:name="_Hlk23159183"/>
      <w:r>
        <w:rPr>
          <w:rFonts w:hint="eastAsia" w:ascii="新細明體" w:hAnsi="新細明體"/>
          <w:sz w:val="24"/>
          <w:szCs w:val="24"/>
        </w:rPr>
        <w:t>帕洛阿尔托</w:t>
      </w:r>
      <w:bookmarkEnd w:id="21"/>
      <w:r>
        <w:rPr>
          <w:rFonts w:hint="eastAsia" w:ascii="新細明體" w:hAnsi="新細明體"/>
          <w:sz w:val="24"/>
          <w:szCs w:val="24"/>
        </w:rPr>
        <w:t>（</w:t>
      </w:r>
      <w:r>
        <w:rPr>
          <w:rFonts w:ascii="新細明體" w:hAnsi="新細明體"/>
          <w:sz w:val="24"/>
          <w:szCs w:val="24"/>
        </w:rPr>
        <w:t>Palo Alto</w:t>
      </w:r>
      <w:r>
        <w:rPr>
          <w:rFonts w:hint="eastAsia" w:ascii="新細明體" w:hAnsi="新細明體"/>
          <w:sz w:val="24"/>
          <w:szCs w:val="24"/>
        </w:rPr>
        <w:t>）的較富裕的中產區。過了10 分鐘後，放置在貧民區的棄車即被破壞，但在加州的棄車在一星期內依然完整無缺。隨後，D</w:t>
      </w:r>
      <w:r>
        <w:rPr>
          <w:rFonts w:ascii="新細明體" w:hAnsi="新細明體"/>
          <w:sz w:val="24"/>
          <w:szCs w:val="24"/>
        </w:rPr>
        <w:t>r Zimbardo</w:t>
      </w:r>
      <w:r>
        <w:rPr>
          <w:rFonts w:hint="eastAsia" w:ascii="新細明體" w:hAnsi="新細明體"/>
          <w:sz w:val="24"/>
          <w:szCs w:val="24"/>
        </w:rPr>
        <w:t>做了第二個延伸實驗：將在較富裕的中產區的棄車，包括汽車的窗戶以大錘猛擊破壞，再看看棄車的遭遇，答案是和貧民區那部一樣，原本相安無事的棄車很快就以相同速度被人摧毀肢解。</w:t>
      </w:r>
      <w:sdt>
        <w:sdtPr>
          <w:rPr>
            <w:rFonts w:hint="eastAsia" w:ascii="新細明體" w:hAnsi="新細明體"/>
            <w:sz w:val="24"/>
            <w:szCs w:val="24"/>
          </w:rPr>
          <w:id w:val="-1855715037"/>
        </w:sdtPr>
        <w:sdtEndPr>
          <w:rPr>
            <w:rFonts w:hint="eastAsia" w:ascii="新細明體" w:hAnsi="新細明體"/>
            <w:sz w:val="24"/>
            <w:szCs w:val="24"/>
          </w:rPr>
        </w:sdtEndPr>
        <w:sdtContent>
          <w:r>
            <w:rPr>
              <w:rFonts w:ascii="新細明體" w:hAnsi="新細明體"/>
              <w:sz w:val="24"/>
              <w:szCs w:val="24"/>
            </w:rPr>
            <w:fldChar w:fldCharType="begin"/>
          </w:r>
          <w:r>
            <w:rPr>
              <w:rFonts w:ascii="新細明體" w:hAnsi="新細明體"/>
              <w:sz w:val="24"/>
              <w:szCs w:val="24"/>
            </w:rPr>
            <w:instrText xml:space="preserve"> CITATION Joh19 \l 15369 </w:instrText>
          </w:r>
          <w:r>
            <w:rPr>
              <w:rFonts w:ascii="新細明體" w:hAnsi="新細明體"/>
              <w:sz w:val="24"/>
              <w:szCs w:val="24"/>
            </w:rPr>
            <w:fldChar w:fldCharType="separate"/>
          </w:r>
          <w:r>
            <w:rPr>
              <w:rFonts w:ascii="新細明體" w:hAnsi="新細明體"/>
              <w:sz w:val="24"/>
              <w:szCs w:val="24"/>
            </w:rPr>
            <w:t xml:space="preserve"> (Nhan, 2019)</w:t>
          </w:r>
          <w:r>
            <w:rPr>
              <w:rFonts w:ascii="新細明體" w:hAnsi="新細明體"/>
              <w:sz w:val="24"/>
              <w:szCs w:val="24"/>
            </w:rPr>
            <w:fldChar w:fldCharType="end"/>
          </w:r>
        </w:sdtContent>
      </w:sdt>
      <w:sdt>
        <w:sdtPr>
          <w:rPr>
            <w:rFonts w:hint="eastAsia" w:ascii="新細明體" w:hAnsi="新細明體"/>
            <w:sz w:val="24"/>
            <w:szCs w:val="24"/>
          </w:rPr>
          <w:id w:val="492000848"/>
        </w:sdtPr>
        <w:sdtEndPr>
          <w:rPr>
            <w:rFonts w:hint="eastAsia" w:ascii="新細明體" w:hAnsi="新細明體"/>
            <w:sz w:val="24"/>
            <w:szCs w:val="24"/>
          </w:rPr>
        </w:sdtEndPr>
        <w:sdtContent>
          <w:r>
            <w:rPr>
              <w:rFonts w:ascii="新細明體" w:hAnsi="新細明體"/>
              <w:sz w:val="24"/>
              <w:szCs w:val="24"/>
            </w:rPr>
            <w:fldChar w:fldCharType="begin"/>
          </w:r>
          <w:r>
            <w:rPr>
              <w:rFonts w:ascii="新細明體" w:hAnsi="新細明體"/>
              <w:sz w:val="24"/>
              <w:szCs w:val="24"/>
            </w:rPr>
            <w:instrText xml:space="preserve"> CITATION Phi08 \l 15369 </w:instrText>
          </w:r>
          <w:r>
            <w:rPr>
              <w:rFonts w:ascii="新細明體" w:hAnsi="新細明體"/>
              <w:sz w:val="24"/>
              <w:szCs w:val="24"/>
            </w:rPr>
            <w:fldChar w:fldCharType="separate"/>
          </w:r>
          <w:r>
            <w:rPr>
              <w:rFonts w:ascii="新細明體" w:hAnsi="新細明體"/>
              <w:sz w:val="24"/>
              <w:szCs w:val="24"/>
            </w:rPr>
            <w:t xml:space="preserve"> (Zimbardo, 2008)</w:t>
          </w:r>
          <w:r>
            <w:rPr>
              <w:rFonts w:ascii="新細明體" w:hAnsi="新細明體"/>
              <w:sz w:val="24"/>
              <w:szCs w:val="24"/>
            </w:rPr>
            <w:fldChar w:fldCharType="end"/>
          </w:r>
        </w:sdtContent>
      </w:sdt>
    </w:p>
    <w:p w14:paraId="30E13525">
      <w:pPr>
        <w:spacing w:line="240" w:lineRule="auto"/>
        <w:jc w:val="both"/>
        <w:rPr>
          <w:rFonts w:ascii="新細明體" w:hAnsi="新細明體"/>
          <w:sz w:val="24"/>
          <w:szCs w:val="24"/>
        </w:rPr>
      </w:pPr>
    </w:p>
    <w:p w14:paraId="10E340EF">
      <w:pPr>
        <w:spacing w:line="240" w:lineRule="auto"/>
        <w:jc w:val="both"/>
        <w:rPr>
          <w:rFonts w:ascii="新細明體" w:hAnsi="新細明體"/>
          <w:sz w:val="24"/>
          <w:szCs w:val="24"/>
        </w:rPr>
      </w:pPr>
      <w:r>
        <w:rPr>
          <w:rFonts w:hint="eastAsia" w:ascii="新細明體" w:hAnsi="新細明體"/>
          <w:sz w:val="24"/>
          <w:szCs w:val="24"/>
        </w:rPr>
        <w:t>1</w:t>
      </w:r>
      <w:r>
        <w:rPr>
          <w:rFonts w:ascii="新細明體" w:hAnsi="新細明體"/>
          <w:sz w:val="24"/>
          <w:szCs w:val="24"/>
        </w:rPr>
        <w:t>3</w:t>
      </w:r>
      <w:r>
        <w:rPr>
          <w:rFonts w:hint="eastAsia" w:ascii="新細明體" w:hAnsi="新細明體"/>
          <w:sz w:val="24"/>
          <w:szCs w:val="24"/>
        </w:rPr>
        <w:t>年後的1982年，犯罪學家喬治．·凱林（George L. Kelling）和詹姆士</w:t>
      </w:r>
      <w:bookmarkStart w:id="22" w:name="_Hlk23420777"/>
      <w:r>
        <w:rPr>
          <w:rFonts w:hint="eastAsia" w:ascii="新細明體" w:hAnsi="新細明體"/>
          <w:sz w:val="24"/>
          <w:szCs w:val="24"/>
        </w:rPr>
        <w:t>．</w:t>
      </w:r>
      <w:bookmarkEnd w:id="22"/>
      <w:r>
        <w:rPr>
          <w:rFonts w:hint="eastAsia" w:ascii="新細明體" w:hAnsi="新細明體"/>
          <w:sz w:val="24"/>
          <w:szCs w:val="24"/>
        </w:rPr>
        <w:t xml:space="preserve">威爾遜（James Q. Wilson）在 The Atlantic </w:t>
      </w:r>
      <w:r>
        <w:rPr>
          <w:rFonts w:ascii="新細明體" w:hAnsi="新細明體"/>
          <w:sz w:val="24"/>
          <w:szCs w:val="24"/>
        </w:rPr>
        <w:t>Monthly</w:t>
      </w:r>
      <w:r>
        <w:rPr>
          <w:rFonts w:hint="eastAsia" w:ascii="新細明體" w:hAnsi="新細明體"/>
          <w:sz w:val="24"/>
          <w:szCs w:val="24"/>
        </w:rPr>
        <w:t>上發表了著名的「破窗效應理論」（Broken Windows</w:t>
      </w:r>
      <w:r>
        <w:rPr>
          <w:rFonts w:ascii="新細明體" w:hAnsi="新細明體"/>
          <w:sz w:val="24"/>
          <w:szCs w:val="24"/>
        </w:rPr>
        <w:t xml:space="preserve"> Theory</w:t>
      </w:r>
      <w:r>
        <w:rPr>
          <w:rFonts w:hint="eastAsia" w:ascii="新細明體" w:hAnsi="新細明體"/>
          <w:sz w:val="24"/>
          <w:szCs w:val="24"/>
        </w:rPr>
        <w:t>）文章把 菲利普．津巴多的實驗結果應用在執法層面上：「</w:t>
      </w:r>
      <w:r>
        <w:rPr>
          <w:rFonts w:hint="eastAsia" w:ascii="新細明體" w:hAnsi="新細明體"/>
          <w:i/>
          <w:iCs/>
          <w:sz w:val="24"/>
          <w:szCs w:val="24"/>
        </w:rPr>
        <w:t>一旦秩序遭擾亂，不論是哪一種社區，如果被放任存在，會誘使人們仿傚，甚至變本加厲，事情會一發不可收拾。</w:t>
      </w:r>
      <w:r>
        <w:rPr>
          <w:rFonts w:hint="eastAsia" w:ascii="新細明體" w:hAnsi="新細明體"/>
          <w:sz w:val="24"/>
          <w:szCs w:val="24"/>
        </w:rPr>
        <w:t>」</w:t>
      </w:r>
      <w:sdt>
        <w:sdtPr>
          <w:rPr>
            <w:rFonts w:hint="eastAsia" w:ascii="新細明體" w:hAnsi="新細明體"/>
            <w:sz w:val="24"/>
            <w:szCs w:val="24"/>
          </w:rPr>
          <w:id w:val="-1766683065"/>
        </w:sdtPr>
        <w:sdtEndPr>
          <w:rPr>
            <w:rFonts w:hint="eastAsia" w:ascii="新細明體" w:hAnsi="新細明體"/>
            <w:sz w:val="24"/>
            <w:szCs w:val="24"/>
          </w:rPr>
        </w:sdtEndPr>
        <w:sdtContent>
          <w:r>
            <w:rPr>
              <w:rFonts w:ascii="新細明體" w:hAnsi="新細明體"/>
              <w:sz w:val="24"/>
              <w:szCs w:val="24"/>
            </w:rPr>
            <w:fldChar w:fldCharType="begin"/>
          </w:r>
          <w:r>
            <w:rPr>
              <w:rFonts w:ascii="新細明體" w:hAnsi="新細明體"/>
              <w:sz w:val="24"/>
              <w:szCs w:val="24"/>
            </w:rPr>
            <w:instrText xml:space="preserve"> CITATION Geo97 \l 15369 </w:instrText>
          </w:r>
          <w:r>
            <w:rPr>
              <w:rFonts w:ascii="新細明體" w:hAnsi="新細明體"/>
              <w:sz w:val="24"/>
              <w:szCs w:val="24"/>
            </w:rPr>
            <w:fldChar w:fldCharType="separate"/>
          </w:r>
          <w:r>
            <w:rPr>
              <w:rFonts w:ascii="新細明體" w:hAnsi="新細明體"/>
              <w:sz w:val="24"/>
              <w:szCs w:val="24"/>
            </w:rPr>
            <w:t xml:space="preserve"> (Coles, 1997)</w:t>
          </w:r>
          <w:r>
            <w:rPr>
              <w:rFonts w:ascii="新細明體" w:hAnsi="新細明體"/>
              <w:sz w:val="24"/>
              <w:szCs w:val="24"/>
            </w:rPr>
            <w:fldChar w:fldCharType="end"/>
          </w:r>
        </w:sdtContent>
      </w:sdt>
      <w:r>
        <w:rPr>
          <w:rFonts w:ascii="新細明體" w:hAnsi="新細明體"/>
          <w:sz w:val="24"/>
          <w:szCs w:val="24"/>
        </w:rPr>
        <w:t xml:space="preserve"> </w:t>
      </w:r>
      <w:r>
        <w:rPr>
          <w:rFonts w:hint="eastAsia" w:ascii="新細明體" w:hAnsi="新細明體"/>
          <w:sz w:val="24"/>
          <w:szCs w:val="24"/>
        </w:rPr>
        <w:t>所以執法者要在大火未變為火災前撲滅火種或解決問題，才能有效阻止更大的罪行發生。兩位犯罪學家對管治者的忠告是，警方不應集中資源處理大案，反之應撲滅社區內種種小罪行，鼓吹市民勿以小惡而為之。</w:t>
      </w:r>
    </w:p>
    <w:p w14:paraId="1F235745">
      <w:pPr>
        <w:pStyle w:val="3"/>
        <w:rPr>
          <w:rFonts w:ascii="新細明體" w:hAnsi="新細明體" w:eastAsia="新細明體"/>
          <w:color w:val="ED7D31" w:themeColor="accent2"/>
          <w:sz w:val="24"/>
          <w:szCs w:val="24"/>
          <w14:textFill>
            <w14:solidFill>
              <w14:schemeClr w14:val="accent2"/>
            </w14:solidFill>
          </w14:textFill>
        </w:rPr>
      </w:pPr>
      <w:bookmarkStart w:id="23" w:name="_Toc27054984"/>
      <w:r>
        <w:rPr>
          <w:rFonts w:hint="eastAsia" w:ascii="新細明體" w:hAnsi="新細明體" w:eastAsia="新細明體"/>
          <w:color w:val="ED7D31" w:themeColor="accent2"/>
          <w:sz w:val="24"/>
          <w:szCs w:val="24"/>
          <w14:textFill>
            <w14:solidFill>
              <w14:schemeClr w14:val="accent2"/>
            </w14:solidFill>
          </w14:textFill>
        </w:rPr>
        <w:t>破窗效應的理論和實例</w:t>
      </w:r>
      <w:bookmarkEnd w:id="23"/>
    </w:p>
    <w:p w14:paraId="44AED926">
      <w:pPr>
        <w:spacing w:line="240" w:lineRule="auto"/>
        <w:jc w:val="both"/>
        <w:rPr>
          <w:rFonts w:ascii="新細明體" w:hAnsi="新細明體"/>
          <w:sz w:val="24"/>
          <w:szCs w:val="24"/>
        </w:rPr>
      </w:pPr>
      <w:r>
        <w:rPr>
          <w:rFonts w:hint="eastAsia" w:ascii="新細明體" w:hAnsi="新細明體"/>
          <w:sz w:val="24"/>
          <w:szCs w:val="24"/>
        </w:rPr>
        <w:t>當一幢</w:t>
      </w:r>
      <w:bookmarkStart w:id="24" w:name="_Hlk23165619"/>
      <w:r>
        <w:rPr>
          <w:rFonts w:hint="eastAsia" w:ascii="新細明體" w:hAnsi="新細明體"/>
          <w:sz w:val="24"/>
          <w:szCs w:val="24"/>
        </w:rPr>
        <w:t>樓</w:t>
      </w:r>
      <w:bookmarkEnd w:id="24"/>
      <w:r>
        <w:rPr>
          <w:rFonts w:hint="eastAsia" w:ascii="新細明體" w:hAnsi="新細明體"/>
          <w:sz w:val="24"/>
          <w:szCs w:val="24"/>
        </w:rPr>
        <w:t>宇的一個窗被頑童破壞為例，如果該破窗不被盡快修理好，明天可能將會有更多的窗戶被其他</w:t>
      </w:r>
      <w:bookmarkStart w:id="25" w:name="_Hlk23165593"/>
      <w:r>
        <w:rPr>
          <w:rFonts w:hint="eastAsia" w:ascii="新細明體" w:hAnsi="新細明體"/>
          <w:sz w:val="24"/>
          <w:szCs w:val="24"/>
        </w:rPr>
        <w:t>頑童</w:t>
      </w:r>
      <w:bookmarkEnd w:id="25"/>
      <w:r>
        <w:rPr>
          <w:rFonts w:hint="eastAsia" w:ascii="新細明體" w:hAnsi="新細明體"/>
          <w:sz w:val="24"/>
          <w:szCs w:val="24"/>
        </w:rPr>
        <w:t>破壞。最終，頑童甚至會闖入樓宇內，如果再無人制止，他們更會將那裡變成遊樂場，盡情嬉戲，大力破壞，甚至縱火。</w:t>
      </w:r>
    </w:p>
    <w:p w14:paraId="309884DC">
      <w:pPr>
        <w:spacing w:line="240" w:lineRule="auto"/>
        <w:jc w:val="both"/>
        <w:rPr>
          <w:rFonts w:ascii="新細明體" w:hAnsi="新細明體"/>
          <w:sz w:val="24"/>
          <w:szCs w:val="24"/>
        </w:rPr>
      </w:pPr>
      <w:r>
        <w:rPr>
          <w:rFonts w:hint="eastAsia" w:ascii="新細明體" w:hAnsi="新細明體"/>
          <w:sz w:val="24"/>
          <w:szCs w:val="24"/>
        </w:rPr>
        <w:t>又或想像一條後</w:t>
      </w:r>
      <w:bookmarkStart w:id="26" w:name="_Hlk23420924"/>
      <w:r>
        <w:rPr>
          <w:rFonts w:hint="eastAsia" w:ascii="新細明體" w:hAnsi="新細明體"/>
          <w:sz w:val="24"/>
          <w:szCs w:val="24"/>
        </w:rPr>
        <w:t>樓梯</w:t>
      </w:r>
      <w:bookmarkEnd w:id="26"/>
      <w:r>
        <w:rPr>
          <w:rFonts w:hint="eastAsia" w:ascii="新細明體" w:hAnsi="新細明體"/>
          <w:sz w:val="24"/>
          <w:szCs w:val="24"/>
        </w:rPr>
        <w:t>被放置廢物，如果無人清理，不久後樓梯就會放滿垃圾，最終人們會視若理所當然地將大型垃圾丟棄在該後樓梯中。又如當學校容許某學生遲到，而不追究，數天後，大部份的學生都會遲到，遲到的學生還奇怪不遲到的學生為甚麼早到。因此</w:t>
      </w:r>
      <w:bookmarkStart w:id="27" w:name="_Hlk32915261"/>
      <w:r>
        <w:rPr>
          <w:rFonts w:hint="eastAsia" w:ascii="新細明體" w:hAnsi="新細明體"/>
          <w:sz w:val="24"/>
          <w:szCs w:val="24"/>
        </w:rPr>
        <w:t>破窗</w:t>
      </w:r>
      <w:bookmarkEnd w:id="27"/>
      <w:r>
        <w:rPr>
          <w:rFonts w:hint="eastAsia" w:ascii="新細明體" w:hAnsi="新細明體"/>
          <w:sz w:val="24"/>
          <w:szCs w:val="24"/>
        </w:rPr>
        <w:t>理論強調著力打擊輕微罪行有助減少更嚴重罪案，更以「零容忍」和「高效率」的糾正態度對應罪案。</w:t>
      </w:r>
    </w:p>
    <w:p w14:paraId="662DA9A9">
      <w:pPr>
        <w:pStyle w:val="3"/>
        <w:rPr>
          <w:rFonts w:ascii="新細明體" w:hAnsi="新細明體" w:eastAsia="新細明體"/>
          <w:color w:val="ED7D31" w:themeColor="accent2"/>
          <w:sz w:val="24"/>
          <w:szCs w:val="24"/>
          <w14:textFill>
            <w14:solidFill>
              <w14:schemeClr w14:val="accent2"/>
            </w14:solidFill>
          </w14:textFill>
        </w:rPr>
      </w:pPr>
      <w:bookmarkStart w:id="28" w:name="_Toc27054985"/>
      <w:r>
        <w:rPr>
          <w:rFonts w:hint="eastAsia" w:ascii="新細明體" w:hAnsi="新細明體" w:eastAsia="新細明體"/>
          <w:color w:val="ED7D31" w:themeColor="accent2"/>
          <w:sz w:val="24"/>
          <w:szCs w:val="24"/>
          <w14:textFill>
            <w14:solidFill>
              <w14:schemeClr w14:val="accent2"/>
            </w14:solidFill>
          </w14:textFill>
        </w:rPr>
        <w:t>破窗理論的普及和負面效</w:t>
      </w:r>
      <w:bookmarkEnd w:id="28"/>
      <w:r>
        <w:rPr>
          <w:rFonts w:hint="eastAsia" w:ascii="新細明體" w:hAnsi="新細明體" w:eastAsia="新細明體"/>
          <w:color w:val="ED7D31" w:themeColor="accent2"/>
          <w:sz w:val="24"/>
          <w:szCs w:val="24"/>
          <w14:textFill>
            <w14:solidFill>
              <w14:schemeClr w14:val="accent2"/>
            </w14:solidFill>
          </w14:textFill>
        </w:rPr>
        <w:t>果</w:t>
      </w:r>
    </w:p>
    <w:p w14:paraId="4D1A5CA6">
      <w:pPr>
        <w:spacing w:line="240" w:lineRule="auto"/>
        <w:jc w:val="both"/>
        <w:rPr>
          <w:rFonts w:ascii="新細明體" w:hAnsi="新細明體"/>
          <w:sz w:val="24"/>
          <w:szCs w:val="24"/>
        </w:rPr>
      </w:pPr>
      <w:r>
        <w:rPr>
          <w:rFonts w:hint="eastAsia" w:ascii="新細明體" w:hAnsi="新細明體"/>
          <w:sz w:val="24"/>
          <w:szCs w:val="24"/>
        </w:rPr>
        <w:t>理論推出2</w:t>
      </w:r>
      <w:r>
        <w:rPr>
          <w:rFonts w:ascii="新細明體" w:hAnsi="新細明體"/>
          <w:sz w:val="24"/>
          <w:szCs w:val="24"/>
        </w:rPr>
        <w:t>0</w:t>
      </w:r>
      <w:r>
        <w:rPr>
          <w:rFonts w:hint="eastAsia" w:ascii="新細明體" w:hAnsi="新細明體"/>
          <w:sz w:val="24"/>
          <w:szCs w:val="24"/>
        </w:rPr>
        <w:t xml:space="preserve">年後，紐約市長 </w:t>
      </w:r>
      <w:bookmarkStart w:id="29" w:name="_Hlk24372238"/>
      <w:r>
        <w:rPr>
          <w:rFonts w:hint="eastAsia" w:ascii="新細明體" w:hAnsi="新細明體"/>
          <w:sz w:val="24"/>
          <w:szCs w:val="24"/>
        </w:rPr>
        <w:t>Rudy Giuliani</w:t>
      </w:r>
      <w:bookmarkEnd w:id="29"/>
      <w:r>
        <w:rPr>
          <w:rFonts w:hint="eastAsia" w:ascii="新細明體" w:hAnsi="新細明體"/>
          <w:sz w:val="24"/>
          <w:szCs w:val="24"/>
        </w:rPr>
        <w:t>把破窗理論實踐於社會管治上。90年代初的紐約市犯罪率高企，警方苦無對策。有見於此，市長嘗試把</w:t>
      </w:r>
      <w:bookmarkStart w:id="30" w:name="_Hlk24372265"/>
      <w:r>
        <w:rPr>
          <w:rFonts w:hint="eastAsia" w:ascii="新細明體" w:hAnsi="新細明體"/>
          <w:sz w:val="24"/>
          <w:szCs w:val="24"/>
        </w:rPr>
        <w:t>「破窗理論」</w:t>
      </w:r>
      <w:bookmarkEnd w:id="30"/>
      <w:r>
        <w:rPr>
          <w:rFonts w:hint="eastAsia" w:ascii="新細明體" w:hAnsi="新細明體"/>
          <w:sz w:val="24"/>
          <w:szCs w:val="24"/>
        </w:rPr>
        <w:t>引入城市管治上，先從細微處著手，派遣過百警員到地下鐵路遏止向來嚴重的逃費情況，然後再打擊較為嚴重的高買偷竊、塗鴉、私煙等問題。當年正值可卡因風潮踏入尾聲，加上更嚴峻的刑罰制度，出人意表地，</w:t>
      </w:r>
      <w:r>
        <w:rPr>
          <w:rFonts w:ascii="新細明體" w:hAnsi="新細明體"/>
          <w:sz w:val="24"/>
          <w:szCs w:val="24"/>
        </w:rPr>
        <w:t>Rudy Giuliani</w:t>
      </w:r>
      <w:r>
        <w:rPr>
          <w:rFonts w:hint="eastAsia" w:ascii="新細明體" w:hAnsi="新細明體"/>
          <w:sz w:val="24"/>
          <w:szCs w:val="24"/>
        </w:rPr>
        <w:t>利用「破窗理論」降犯罪率，達到事半功倍的效果，紐約市的犯罪率在 Giuliani 上任後逐年遞減，謀殺率也逐漸下降，他市長的職位也以此政績而成功連任。「破窗理論」的成效被確認，亦變得普及起來。當然「破窗理論」的應用並非犯罪率下降的唯一因素。</w:t>
      </w:r>
    </w:p>
    <w:p w14:paraId="469F5F1D">
      <w:pPr>
        <w:spacing w:line="240" w:lineRule="auto"/>
        <w:jc w:val="both"/>
        <w:rPr>
          <w:rFonts w:ascii="新細明體" w:hAnsi="新細明體"/>
          <w:sz w:val="24"/>
          <w:szCs w:val="24"/>
        </w:rPr>
      </w:pPr>
      <w:r>
        <w:rPr>
          <w:rFonts w:hint="eastAsia" w:ascii="新細明體" w:hAnsi="新細明體"/>
          <w:sz w:val="24"/>
          <w:szCs w:val="24"/>
        </w:rPr>
        <w:t>「破窗理論」的「零容忍」和「高效率」理念，應用於警方執法方針時，亦帶來了警察濫權的負面影響。市民對警察濫權的投訴愈來愈多。發展至 2001 年，另一紐約市長</w:t>
      </w:r>
      <w:r>
        <w:rPr>
          <w:rFonts w:ascii="新細明體" w:hAnsi="新細明體"/>
          <w:sz w:val="24"/>
          <w:szCs w:val="24"/>
        </w:rPr>
        <w:t>Michael Bloomberg</w:t>
      </w:r>
      <w:r>
        <w:rPr>
          <w:rFonts w:hint="eastAsia" w:ascii="新細明體" w:hAnsi="新細明體"/>
          <w:sz w:val="24"/>
          <w:szCs w:val="24"/>
        </w:rPr>
        <w:t>，推行「攔截搜身」（stop and frisk）法案，明顯警方職權過大，很多良好的市民，無辜被騷擾，該推出的法案已逐漸偏離原本理論，而且損害民權，時移勢逆，</w:t>
      </w:r>
      <w:r>
        <w:rPr>
          <w:rFonts w:ascii="新細明體" w:hAnsi="新細明體"/>
          <w:sz w:val="24"/>
          <w:szCs w:val="24"/>
        </w:rPr>
        <w:t>Michael Bloomberg</w:t>
      </w:r>
      <w:r>
        <w:rPr>
          <w:rFonts w:hint="eastAsia" w:ascii="新細明體" w:hAnsi="新細明體"/>
          <w:sz w:val="24"/>
          <w:szCs w:val="24"/>
        </w:rPr>
        <w:t>在今年競選總統前，也要為當年的執法過嚴認錯。</w:t>
      </w:r>
    </w:p>
    <w:p w14:paraId="4D175390">
      <w:pPr>
        <w:pStyle w:val="3"/>
        <w:spacing w:before="360" w:after="360"/>
        <w:rPr>
          <w:rFonts w:ascii="新細明體" w:hAnsi="新細明體" w:eastAsia="新細明體"/>
          <w:sz w:val="24"/>
          <w:szCs w:val="24"/>
        </w:rPr>
      </w:pPr>
      <w:bookmarkStart w:id="31" w:name="_Toc27054986"/>
      <w:r>
        <w:rPr>
          <w:rFonts w:hint="eastAsia" w:ascii="新細明體" w:hAnsi="新細明體" w:eastAsia="新細明體"/>
          <w:sz w:val="24"/>
          <w:szCs w:val="24"/>
        </w:rPr>
        <w:t>「</w:t>
      </w:r>
      <w:bookmarkStart w:id="32" w:name="_Hlk26201079"/>
      <w:r>
        <w:rPr>
          <w:rFonts w:hint="eastAsia" w:ascii="新細明體" w:hAnsi="新細明體" w:eastAsia="新細明體"/>
          <w:sz w:val="24"/>
          <w:szCs w:val="24"/>
        </w:rPr>
        <w:t>路西法效應</w:t>
      </w:r>
      <w:bookmarkEnd w:id="32"/>
      <w:r>
        <w:rPr>
          <w:rFonts w:hint="eastAsia" w:ascii="新細明體" w:hAnsi="新細明體" w:eastAsia="新細明體"/>
          <w:sz w:val="24"/>
          <w:szCs w:val="24"/>
        </w:rPr>
        <w:t>」(Lucifer Effect)</w:t>
      </w:r>
      <w:bookmarkEnd w:id="31"/>
    </w:p>
    <w:p w14:paraId="6280B240">
      <w:pPr>
        <w:spacing w:line="240" w:lineRule="auto"/>
        <w:jc w:val="both"/>
        <w:rPr>
          <w:rFonts w:ascii="新細明體" w:hAnsi="新細明體"/>
          <w:sz w:val="24"/>
          <w:szCs w:val="24"/>
        </w:rPr>
      </w:pPr>
      <w:r>
        <w:rPr>
          <w:rFonts w:hint="eastAsia" w:ascii="新細明體" w:hAnsi="新細明體"/>
          <w:sz w:val="24"/>
          <w:szCs w:val="24"/>
        </w:rPr>
        <w:t>菲利．津巴多（</w:t>
      </w:r>
      <w:r>
        <w:rPr>
          <w:rFonts w:ascii="新細明體" w:hAnsi="新細明體"/>
          <w:sz w:val="24"/>
          <w:szCs w:val="24"/>
        </w:rPr>
        <w:t>Philip Zimbardo</w:t>
      </w:r>
      <w:r>
        <w:rPr>
          <w:rFonts w:hint="eastAsia" w:ascii="新細明體" w:hAnsi="新細明體"/>
          <w:sz w:val="24"/>
          <w:szCs w:val="24"/>
        </w:rPr>
        <w:t>）</w:t>
      </w:r>
      <w:r>
        <w:rPr>
          <w:rFonts w:ascii="新細明體" w:hAnsi="新細明體"/>
          <w:sz w:val="24"/>
          <w:szCs w:val="24"/>
        </w:rPr>
        <w:t>2007</w:t>
      </w:r>
      <w:r>
        <w:rPr>
          <w:rFonts w:hint="eastAsia" w:ascii="新細明體" w:hAnsi="新細明體"/>
          <w:sz w:val="24"/>
          <w:szCs w:val="24"/>
        </w:rPr>
        <w:t>年的著作：「路西法效應」，好人是如何變成惡魔的（</w:t>
      </w:r>
      <w:r>
        <w:rPr>
          <w:rFonts w:ascii="新細明體" w:hAnsi="新細明體"/>
          <w:sz w:val="24"/>
          <w:szCs w:val="24"/>
        </w:rPr>
        <w:t>The Lucifer Effect: Understanding How Good People Turn Evil</w:t>
      </w:r>
      <w:r>
        <w:rPr>
          <w:rFonts w:hint="eastAsia" w:ascii="新細明體" w:hAnsi="新細明體"/>
          <w:sz w:val="24"/>
          <w:szCs w:val="24"/>
        </w:rPr>
        <w:t>）一書指出路西法效應是指受到特定情境或氛圍的影響，人的性格、思維方式、行為方式表現出來的不可思議的一面，路西法效應體現了人性中惡的一面。（</w:t>
      </w:r>
      <w:r>
        <w:rPr>
          <w:rFonts w:ascii="新細明體" w:hAnsi="新細明體"/>
          <w:sz w:val="24"/>
          <w:szCs w:val="24"/>
        </w:rPr>
        <w:t>O'Connor, 2017</w:t>
      </w:r>
      <w:r>
        <w:rPr>
          <w:rFonts w:hint="eastAsia" w:ascii="新細明體" w:hAnsi="新細明體"/>
          <w:sz w:val="24"/>
          <w:szCs w:val="24"/>
        </w:rPr>
        <w:t>）研究發現了「處境」「個人行為」的影響非常重要，甚至比「個</w:t>
      </w:r>
      <w:r>
        <w:rPr>
          <w:rFonts w:hint="eastAsia" w:ascii="Microsoft YaHei" w:hAnsi="Microsoft YaHei" w:eastAsia="Microsoft YaHei" w:cs="Microsoft YaHei"/>
          <w:sz w:val="24"/>
          <w:szCs w:val="24"/>
        </w:rPr>
        <w:t>⼈</w:t>
      </w:r>
      <w:r>
        <w:rPr>
          <w:rFonts w:hint="eastAsia" w:ascii="新細明體" w:hAnsi="新細明體" w:cs="新細明體"/>
          <w:sz w:val="24"/>
          <w:szCs w:val="24"/>
        </w:rPr>
        <w:t>素質」</w:t>
      </w:r>
      <w:r>
        <w:rPr>
          <w:rFonts w:hint="eastAsia" w:ascii="Microsoft YaHei" w:hAnsi="Microsoft YaHei" w:eastAsia="Microsoft YaHei" w:cs="Microsoft YaHei"/>
          <w:sz w:val="24"/>
          <w:szCs w:val="24"/>
        </w:rPr>
        <w:t>⼤</w:t>
      </w:r>
      <w:r>
        <w:rPr>
          <w:rFonts w:hint="eastAsia" w:ascii="新細明體" w:hAnsi="新細明體" w:cs="新細明體"/>
          <w:sz w:val="24"/>
          <w:szCs w:val="24"/>
        </w:rPr>
        <w:t>，在年青</w:t>
      </w:r>
      <w:r>
        <w:rPr>
          <w:rFonts w:hint="eastAsia" w:ascii="Microsoft YaHei" w:hAnsi="Microsoft YaHei" w:eastAsia="Microsoft YaHei" w:cs="Microsoft YaHei"/>
          <w:sz w:val="24"/>
          <w:szCs w:val="24"/>
        </w:rPr>
        <w:t>⼈⾝</w:t>
      </w:r>
      <w:r>
        <w:rPr>
          <w:rFonts w:hint="eastAsia" w:ascii="新細明體" w:hAnsi="新細明體" w:cs="新細明體"/>
          <w:sz w:val="24"/>
          <w:szCs w:val="24"/>
        </w:rPr>
        <w:t>上更加明顯。處境的影響力</w:t>
      </w:r>
      <w:bookmarkStart w:id="33" w:name="_Hlk26199213"/>
      <w:r>
        <w:rPr>
          <w:rFonts w:hint="eastAsia" w:ascii="新細明體" w:hAnsi="新細明體" w:cs="新細明體"/>
          <w:sz w:val="24"/>
          <w:szCs w:val="24"/>
        </w:rPr>
        <w:t>（</w:t>
      </w:r>
      <w:r>
        <w:rPr>
          <w:rFonts w:ascii="新細明體" w:hAnsi="新細明體"/>
          <w:sz w:val="24"/>
          <w:szCs w:val="24"/>
        </w:rPr>
        <w:t>Situation</w:t>
      </w:r>
      <w:r>
        <w:rPr>
          <w:rFonts w:hint="eastAsia" w:ascii="新細明體" w:hAnsi="新細明體"/>
          <w:sz w:val="24"/>
          <w:szCs w:val="24"/>
        </w:rPr>
        <w:t>al Forces）</w:t>
      </w:r>
      <w:bookmarkEnd w:id="33"/>
      <w:r>
        <w:rPr>
          <w:rFonts w:hint="eastAsia" w:ascii="新細明體" w:hAnsi="新細明體"/>
          <w:sz w:val="24"/>
          <w:szCs w:val="24"/>
        </w:rPr>
        <w:t>，來自角色、去個性化（De-individuation）規範和守則，以及從眾壓力（Conformity Pressure）和團體認同（Group Identity）等等因素。（Zimbardo 2007, p 197）類同中國人說的「近朱者赤，近墨者黑。」</w:t>
      </w:r>
    </w:p>
    <w:p w14:paraId="463DA414">
      <w:pPr>
        <w:spacing w:line="240" w:lineRule="auto"/>
        <w:jc w:val="both"/>
        <w:rPr>
          <w:rFonts w:ascii="新細明體" w:hAnsi="新細明體"/>
          <w:sz w:val="24"/>
          <w:szCs w:val="24"/>
        </w:rPr>
      </w:pPr>
    </w:p>
    <w:p w14:paraId="51231838">
      <w:pPr>
        <w:spacing w:line="240" w:lineRule="auto"/>
        <w:jc w:val="both"/>
        <w:rPr>
          <w:rFonts w:ascii="新細明體" w:hAnsi="新細明體"/>
          <w:sz w:val="24"/>
          <w:szCs w:val="24"/>
        </w:rPr>
      </w:pPr>
    </w:p>
    <w:p w14:paraId="7C9ABD91">
      <w:pPr>
        <w:spacing w:line="240" w:lineRule="auto"/>
        <w:jc w:val="both"/>
        <w:rPr>
          <w:rFonts w:ascii="新細明體" w:hAnsi="新細明體"/>
          <w:sz w:val="24"/>
          <w:szCs w:val="24"/>
        </w:rPr>
      </w:pPr>
    </w:p>
    <w:tbl>
      <w:tblPr>
        <w:tblStyle w:val="15"/>
        <w:tblW w:w="9214"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autofit"/>
        <w:tblCellMar>
          <w:top w:w="0" w:type="dxa"/>
          <w:left w:w="108" w:type="dxa"/>
          <w:bottom w:w="0" w:type="dxa"/>
          <w:right w:w="108" w:type="dxa"/>
        </w:tblCellMar>
      </w:tblPr>
      <w:tblGrid>
        <w:gridCol w:w="9214"/>
      </w:tblGrid>
      <w:tr w14:paraId="51ECD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495" w:hRule="atLeast"/>
        </w:trPr>
        <w:tc>
          <w:tcPr>
            <w:tcW w:w="9214" w:type="dxa"/>
            <w:shd w:val="clear" w:color="auto" w:fill="FFC000"/>
            <w:vAlign w:val="center"/>
          </w:tcPr>
          <w:p w14:paraId="4662A8A7">
            <w:pPr>
              <w:pStyle w:val="24"/>
              <w:snapToGrid w:val="0"/>
              <w:spacing w:after="0" w:line="320" w:lineRule="exact"/>
              <w:ind w:left="153"/>
              <w:contextualSpacing w:val="0"/>
              <w:jc w:val="center"/>
              <w:rPr>
                <w:rFonts w:ascii="新細明體" w:hAnsi="新細明體"/>
                <w:b/>
                <w:bCs/>
                <w:sz w:val="24"/>
                <w:szCs w:val="24"/>
              </w:rPr>
            </w:pPr>
            <w:r>
              <w:rPr>
                <w:rFonts w:hint="eastAsia" w:ascii="新細明體" w:hAnsi="新細明體"/>
                <w:b/>
                <w:bCs/>
                <w:sz w:val="24"/>
                <w:szCs w:val="24"/>
              </w:rPr>
              <w:t>菲利．津巴多(</w:t>
            </w:r>
            <w:r>
              <w:rPr>
                <w:rFonts w:ascii="新細明體" w:hAnsi="新細明體"/>
                <w:b/>
                <w:bCs/>
                <w:sz w:val="24"/>
                <w:szCs w:val="24"/>
              </w:rPr>
              <w:t>Philip Zimbardo)</w:t>
            </w:r>
            <w:r>
              <w:rPr>
                <w:rFonts w:hint="eastAsia" w:ascii="新細明體" w:hAnsi="新細明體"/>
                <w:b/>
                <w:bCs/>
                <w:sz w:val="24"/>
                <w:szCs w:val="24"/>
              </w:rPr>
              <w:t>的「路西法效應 」，好人是如何變成惡魔的七步過程</w:t>
            </w:r>
          </w:p>
        </w:tc>
      </w:tr>
      <w:tr w14:paraId="372E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558" w:hRule="atLeast"/>
        </w:trPr>
        <w:tc>
          <w:tcPr>
            <w:tcW w:w="9214" w:type="dxa"/>
            <w:shd w:val="clear" w:color="auto" w:fill="FFFF00"/>
            <w:vAlign w:val="center"/>
          </w:tcPr>
          <w:p w14:paraId="072525F9">
            <w:pPr>
              <w:pStyle w:val="24"/>
              <w:numPr>
                <w:ilvl w:val="0"/>
                <w:numId w:val="2"/>
              </w:numPr>
              <w:snapToGrid w:val="0"/>
              <w:spacing w:after="0" w:line="320" w:lineRule="exact"/>
              <w:ind w:left="578" w:hanging="425"/>
              <w:contextualSpacing w:val="0"/>
              <w:jc w:val="both"/>
              <w:rPr>
                <w:rFonts w:ascii="新細明體" w:hAnsi="新細明體"/>
                <w:sz w:val="24"/>
                <w:szCs w:val="24"/>
              </w:rPr>
            </w:pPr>
            <w:r>
              <w:rPr>
                <w:rFonts w:hint="eastAsia" w:ascii="新細明體" w:hAnsi="新細明體"/>
                <w:b/>
                <w:bCs/>
                <w:sz w:val="24"/>
                <w:szCs w:val="24"/>
              </w:rPr>
              <w:t>破壞道德底線</w:t>
            </w:r>
            <w:r>
              <w:rPr>
                <w:rFonts w:hint="eastAsia" w:ascii="新細明體" w:hAnsi="新細明體"/>
                <w:sz w:val="24"/>
                <w:szCs w:val="24"/>
              </w:rPr>
              <w:t xml:space="preserve"> </w:t>
            </w:r>
            <w:r>
              <w:rPr>
                <w:rFonts w:ascii="新細明體" w:hAnsi="新細明體"/>
                <w:sz w:val="24"/>
                <w:szCs w:val="24"/>
              </w:rPr>
              <w:t xml:space="preserve">- </w:t>
            </w:r>
            <w:r>
              <w:rPr>
                <w:rFonts w:hint="eastAsia" w:ascii="新細明體" w:hAnsi="新細明體"/>
                <w:sz w:val="24"/>
                <w:szCs w:val="24"/>
              </w:rPr>
              <w:t>首先，好人會將自己的道德底線在有意或不經意間打破；</w:t>
            </w:r>
          </w:p>
        </w:tc>
      </w:tr>
      <w:tr w14:paraId="6A9B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762" w:hRule="atLeast"/>
        </w:trPr>
        <w:tc>
          <w:tcPr>
            <w:tcW w:w="9214" w:type="dxa"/>
            <w:shd w:val="clear" w:color="auto" w:fill="FFFF00"/>
            <w:vAlign w:val="center"/>
          </w:tcPr>
          <w:p w14:paraId="0D3FFB61">
            <w:pPr>
              <w:pStyle w:val="24"/>
              <w:numPr>
                <w:ilvl w:val="0"/>
                <w:numId w:val="2"/>
              </w:numPr>
              <w:snapToGrid w:val="0"/>
              <w:spacing w:after="0" w:line="320" w:lineRule="exact"/>
              <w:ind w:left="578" w:hanging="425"/>
              <w:contextualSpacing w:val="0"/>
              <w:jc w:val="both"/>
              <w:rPr>
                <w:rFonts w:ascii="新細明體" w:hAnsi="新細明體"/>
                <w:sz w:val="24"/>
                <w:szCs w:val="24"/>
              </w:rPr>
            </w:pPr>
            <w:r>
              <w:rPr>
                <w:rFonts w:hint="eastAsia" w:ascii="新細明體" w:hAnsi="新細明體"/>
                <w:b/>
                <w:bCs/>
                <w:sz w:val="24"/>
                <w:szCs w:val="24"/>
              </w:rPr>
              <w:t>去人性化</w:t>
            </w:r>
            <w:r>
              <w:rPr>
                <w:rFonts w:hint="eastAsia" w:ascii="新細明體" w:hAnsi="新細明體"/>
                <w:sz w:val="24"/>
                <w:szCs w:val="24"/>
              </w:rPr>
              <w:t xml:space="preserve"> </w:t>
            </w:r>
            <w:r>
              <w:rPr>
                <w:rFonts w:ascii="新細明體" w:hAnsi="新細明體"/>
                <w:sz w:val="24"/>
                <w:szCs w:val="24"/>
              </w:rPr>
              <w:t xml:space="preserve">- </w:t>
            </w:r>
            <w:r>
              <w:rPr>
                <w:rFonts w:hint="eastAsia" w:ascii="新細明體" w:hAnsi="新細明體"/>
                <w:sz w:val="24"/>
                <w:szCs w:val="24"/>
              </w:rPr>
              <w:t>第二步，將自我和別人同化，都去人性化（</w:t>
            </w:r>
            <w:r>
              <w:rPr>
                <w:rFonts w:ascii="新細明體" w:hAnsi="新細明體"/>
                <w:sz w:val="24"/>
                <w:szCs w:val="24"/>
              </w:rPr>
              <w:t>Deindividuation</w:t>
            </w:r>
            <w:r>
              <w:rPr>
                <w:rFonts w:hint="eastAsia" w:ascii="新細明體" w:hAnsi="新細明體"/>
                <w:sz w:val="24"/>
                <w:szCs w:val="24"/>
              </w:rPr>
              <w:t>），沒有了個人主義，俗稱「跟大隊」；</w:t>
            </w:r>
          </w:p>
        </w:tc>
      </w:tr>
      <w:tr w14:paraId="15B6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762" w:hRule="atLeast"/>
        </w:trPr>
        <w:tc>
          <w:tcPr>
            <w:tcW w:w="9214" w:type="dxa"/>
            <w:shd w:val="clear" w:color="auto" w:fill="FFFF00"/>
            <w:vAlign w:val="center"/>
          </w:tcPr>
          <w:p w14:paraId="66102DB4">
            <w:pPr>
              <w:pStyle w:val="24"/>
              <w:numPr>
                <w:ilvl w:val="0"/>
                <w:numId w:val="2"/>
              </w:numPr>
              <w:snapToGrid w:val="0"/>
              <w:spacing w:after="0" w:line="320" w:lineRule="exact"/>
              <w:ind w:left="578" w:hanging="425"/>
              <w:contextualSpacing w:val="0"/>
              <w:jc w:val="both"/>
              <w:rPr>
                <w:rFonts w:ascii="新細明體" w:hAnsi="新細明體"/>
                <w:sz w:val="24"/>
                <w:szCs w:val="24"/>
              </w:rPr>
            </w:pPr>
            <w:r>
              <w:rPr>
                <w:rFonts w:hint="eastAsia" w:ascii="新細明體" w:hAnsi="新細明體"/>
                <w:b/>
                <w:bCs/>
                <w:sz w:val="24"/>
                <w:szCs w:val="24"/>
              </w:rPr>
              <w:t xml:space="preserve">去識別化 </w:t>
            </w:r>
            <w:r>
              <w:rPr>
                <w:rFonts w:ascii="新細明體" w:hAnsi="新細明體"/>
                <w:sz w:val="24"/>
                <w:szCs w:val="24"/>
              </w:rPr>
              <w:t xml:space="preserve">- </w:t>
            </w:r>
            <w:r>
              <w:rPr>
                <w:rFonts w:hint="eastAsia" w:ascii="新細明體" w:hAnsi="新細明體"/>
                <w:sz w:val="24"/>
                <w:szCs w:val="24"/>
              </w:rPr>
              <w:t>透過匿名、穿制服、帶面具等方式，去識別。（就如美國的3 K 黨）；</w:t>
            </w:r>
          </w:p>
        </w:tc>
      </w:tr>
      <w:tr w14:paraId="5B823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588" w:hRule="atLeast"/>
        </w:trPr>
        <w:tc>
          <w:tcPr>
            <w:tcW w:w="9214" w:type="dxa"/>
            <w:shd w:val="clear" w:color="auto" w:fill="FFFF00"/>
            <w:vAlign w:val="center"/>
          </w:tcPr>
          <w:p w14:paraId="0D0A3439">
            <w:pPr>
              <w:pStyle w:val="24"/>
              <w:numPr>
                <w:ilvl w:val="0"/>
                <w:numId w:val="2"/>
              </w:numPr>
              <w:snapToGrid w:val="0"/>
              <w:spacing w:after="0" w:line="320" w:lineRule="exact"/>
              <w:ind w:left="578" w:hanging="425"/>
              <w:contextualSpacing w:val="0"/>
              <w:jc w:val="both"/>
              <w:rPr>
                <w:rFonts w:ascii="新細明體" w:hAnsi="新細明體"/>
                <w:sz w:val="24"/>
                <w:szCs w:val="24"/>
              </w:rPr>
            </w:pPr>
            <w:r>
              <w:rPr>
                <w:rFonts w:hint="eastAsia" w:ascii="新細明體" w:hAnsi="新細明體"/>
                <w:b/>
                <w:bCs/>
                <w:sz w:val="24"/>
                <w:szCs w:val="24"/>
              </w:rPr>
              <w:t>推卸責任</w:t>
            </w:r>
            <w:r>
              <w:rPr>
                <w:rFonts w:hint="eastAsia" w:ascii="新細明體" w:hAnsi="新細明體"/>
                <w:sz w:val="24"/>
                <w:szCs w:val="24"/>
              </w:rPr>
              <w:t xml:space="preserve"> </w:t>
            </w:r>
            <w:r>
              <w:rPr>
                <w:rFonts w:ascii="新細明體" w:hAnsi="新細明體"/>
                <w:sz w:val="24"/>
                <w:szCs w:val="24"/>
              </w:rPr>
              <w:t xml:space="preserve">- </w:t>
            </w:r>
            <w:r>
              <w:rPr>
                <w:rFonts w:hint="eastAsia" w:ascii="新細明體" w:hAnsi="新細明體"/>
                <w:sz w:val="24"/>
                <w:szCs w:val="24"/>
              </w:rPr>
              <w:t>犯了事，將所有責任分散和推諉於別人，自己不付責任。（就如德國的納粹黨）</w:t>
            </w:r>
          </w:p>
        </w:tc>
      </w:tr>
      <w:tr w14:paraId="1C38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555" w:hRule="atLeast"/>
        </w:trPr>
        <w:tc>
          <w:tcPr>
            <w:tcW w:w="9214" w:type="dxa"/>
            <w:shd w:val="clear" w:color="auto" w:fill="FFFF00"/>
            <w:vAlign w:val="center"/>
          </w:tcPr>
          <w:p w14:paraId="2C999D66">
            <w:pPr>
              <w:pStyle w:val="24"/>
              <w:numPr>
                <w:ilvl w:val="0"/>
                <w:numId w:val="2"/>
              </w:numPr>
              <w:snapToGrid w:val="0"/>
              <w:spacing w:after="0" w:line="320" w:lineRule="exact"/>
              <w:ind w:left="578" w:hanging="425"/>
              <w:contextualSpacing w:val="0"/>
              <w:jc w:val="both"/>
              <w:rPr>
                <w:rFonts w:ascii="新細明體" w:hAnsi="新細明體"/>
                <w:sz w:val="24"/>
                <w:szCs w:val="24"/>
              </w:rPr>
            </w:pPr>
            <w:r>
              <w:rPr>
                <w:rFonts w:hint="eastAsia" w:ascii="新細明體" w:hAnsi="新細明體"/>
                <w:b/>
                <w:bCs/>
                <w:sz w:val="24"/>
                <w:szCs w:val="24"/>
              </w:rPr>
              <w:t>假服從</w:t>
            </w:r>
            <w:r>
              <w:rPr>
                <w:rFonts w:hint="eastAsia" w:ascii="新細明體" w:hAnsi="新細明體"/>
                <w:sz w:val="24"/>
                <w:szCs w:val="24"/>
              </w:rPr>
              <w:t xml:space="preserve"> </w:t>
            </w:r>
            <w:r>
              <w:rPr>
                <w:rFonts w:ascii="新細明體" w:hAnsi="新細明體"/>
                <w:sz w:val="24"/>
                <w:szCs w:val="24"/>
              </w:rPr>
              <w:t xml:space="preserve">- </w:t>
            </w:r>
            <w:r>
              <w:rPr>
                <w:rFonts w:hint="eastAsia" w:ascii="新細明體" w:hAnsi="新細明體"/>
                <w:sz w:val="24"/>
                <w:szCs w:val="24"/>
              </w:rPr>
              <w:t>盲目服從於合他心意的權威；</w:t>
            </w:r>
          </w:p>
        </w:tc>
      </w:tr>
      <w:tr w14:paraId="09D8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691" w:hRule="atLeast"/>
        </w:trPr>
        <w:tc>
          <w:tcPr>
            <w:tcW w:w="9214" w:type="dxa"/>
            <w:shd w:val="clear" w:color="auto" w:fill="FFFF00"/>
            <w:vAlign w:val="center"/>
          </w:tcPr>
          <w:p w14:paraId="31970643">
            <w:pPr>
              <w:pStyle w:val="24"/>
              <w:numPr>
                <w:ilvl w:val="0"/>
                <w:numId w:val="2"/>
              </w:numPr>
              <w:snapToGrid w:val="0"/>
              <w:spacing w:after="0" w:line="320" w:lineRule="exact"/>
              <w:ind w:left="578" w:hanging="425"/>
              <w:contextualSpacing w:val="0"/>
              <w:jc w:val="both"/>
              <w:rPr>
                <w:rFonts w:ascii="新細明體" w:hAnsi="新細明體"/>
                <w:sz w:val="24"/>
                <w:szCs w:val="24"/>
              </w:rPr>
            </w:pPr>
            <w:r>
              <w:rPr>
                <w:rFonts w:hint="eastAsia" w:ascii="新細明體" w:hAnsi="新細明體"/>
                <w:b/>
                <w:bCs/>
                <w:sz w:val="24"/>
                <w:szCs w:val="24"/>
              </w:rPr>
              <w:t>受制於從眾壓力和群體極化效應</w:t>
            </w:r>
            <w:r>
              <w:rPr>
                <w:rFonts w:hint="eastAsia" w:ascii="新細明體" w:hAnsi="新細明體"/>
                <w:sz w:val="24"/>
                <w:szCs w:val="24"/>
              </w:rPr>
              <w:t xml:space="preserve"> </w:t>
            </w:r>
            <w:r>
              <w:rPr>
                <w:rFonts w:ascii="新細明體" w:hAnsi="新細明體"/>
                <w:sz w:val="24"/>
                <w:szCs w:val="24"/>
              </w:rPr>
              <w:t>-</w:t>
            </w:r>
            <w:r>
              <w:rPr>
                <w:rFonts w:hint="eastAsia" w:ascii="新細明體" w:hAnsi="新細明體"/>
                <w:sz w:val="24"/>
                <w:szCs w:val="24"/>
              </w:rPr>
              <w:t xml:space="preserve"> 不經判斷地盲目服從團體的規範；</w:t>
            </w:r>
          </w:p>
        </w:tc>
      </w:tr>
      <w:tr w14:paraId="499CA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544" w:hRule="atLeast"/>
        </w:trPr>
        <w:tc>
          <w:tcPr>
            <w:tcW w:w="9214" w:type="dxa"/>
            <w:shd w:val="clear" w:color="auto" w:fill="FFFF00"/>
            <w:vAlign w:val="center"/>
          </w:tcPr>
          <w:p w14:paraId="3F2D582E">
            <w:pPr>
              <w:pStyle w:val="24"/>
              <w:numPr>
                <w:ilvl w:val="0"/>
                <w:numId w:val="2"/>
              </w:numPr>
              <w:snapToGrid w:val="0"/>
              <w:spacing w:after="0" w:line="320" w:lineRule="exact"/>
              <w:ind w:left="578" w:hanging="425"/>
              <w:contextualSpacing w:val="0"/>
              <w:jc w:val="both"/>
              <w:rPr>
                <w:rFonts w:ascii="新細明體" w:hAnsi="新細明體"/>
                <w:sz w:val="24"/>
                <w:szCs w:val="24"/>
              </w:rPr>
            </w:pPr>
            <w:r>
              <w:rPr>
                <w:rFonts w:hint="eastAsia" w:ascii="新細明體" w:hAnsi="新細明體"/>
                <w:b/>
                <w:bCs/>
                <w:sz w:val="24"/>
                <w:szCs w:val="24"/>
              </w:rPr>
              <w:t>完全迷失</w:t>
            </w:r>
            <w:r>
              <w:rPr>
                <w:rFonts w:hint="eastAsia" w:ascii="新細明體" w:hAnsi="新細明體"/>
                <w:sz w:val="24"/>
                <w:szCs w:val="24"/>
              </w:rPr>
              <w:t xml:space="preserve">，聽而不聞、視而不見 </w:t>
            </w:r>
            <w:r>
              <w:rPr>
                <w:rFonts w:ascii="新細明體" w:hAnsi="新細明體"/>
                <w:sz w:val="24"/>
                <w:szCs w:val="24"/>
              </w:rPr>
              <w:t xml:space="preserve">- </w:t>
            </w:r>
            <w:r>
              <w:rPr>
                <w:rFonts w:hint="eastAsia" w:ascii="新細明體" w:hAnsi="新細明體"/>
                <w:sz w:val="24"/>
                <w:szCs w:val="24"/>
              </w:rPr>
              <w:t>藉由不知與冷漠，容忍惡事存在，就如有耳朵也聽不到、有眼睛也看不見。</w:t>
            </w:r>
          </w:p>
        </w:tc>
      </w:tr>
    </w:tbl>
    <w:p w14:paraId="37136030">
      <w:pPr>
        <w:spacing w:line="240" w:lineRule="auto"/>
        <w:jc w:val="both"/>
        <w:rPr>
          <w:rFonts w:ascii="新細明體" w:hAnsi="新細明體"/>
          <w:sz w:val="24"/>
          <w:szCs w:val="24"/>
        </w:rPr>
      </w:pPr>
      <w:r>
        <w:rPr>
          <w:rFonts w:ascii="新細明體" w:hAnsi="新細明體"/>
          <w:sz w:val="24"/>
          <w:szCs w:val="24"/>
        </w:rPr>
        <w:t xml:space="preserve">              (Zimbardo 2007)</w:t>
      </w:r>
    </w:p>
    <w:p w14:paraId="56BE5961">
      <w:pPr>
        <w:spacing w:line="240" w:lineRule="auto"/>
        <w:jc w:val="both"/>
        <w:rPr>
          <w:rFonts w:ascii="新細明體" w:hAnsi="新細明體"/>
          <w:sz w:val="24"/>
          <w:szCs w:val="24"/>
        </w:rPr>
      </w:pPr>
    </w:p>
    <w:p w14:paraId="1175AB11">
      <w:pPr>
        <w:spacing w:line="240" w:lineRule="auto"/>
        <w:jc w:val="both"/>
        <w:rPr>
          <w:rFonts w:ascii="新細明體" w:hAnsi="新細明體"/>
          <w:sz w:val="24"/>
          <w:szCs w:val="24"/>
        </w:rPr>
      </w:pPr>
    </w:p>
    <w:p w14:paraId="7717B134">
      <w:pPr>
        <w:pStyle w:val="3"/>
        <w:rPr>
          <w:rFonts w:ascii="新細明體" w:hAnsi="新細明體" w:eastAsia="新細明體"/>
          <w:sz w:val="24"/>
          <w:szCs w:val="24"/>
        </w:rPr>
      </w:pPr>
      <w:bookmarkStart w:id="34" w:name="_Toc27054987"/>
      <w:r>
        <w:rPr>
          <w:rFonts w:hint="eastAsia" w:ascii="新細明體" w:hAnsi="新細明體" w:eastAsia="新細明體"/>
          <w:sz w:val="24"/>
          <w:szCs w:val="24"/>
        </w:rPr>
        <w:t>修補破窗（Fixing Broken Windows）理論</w:t>
      </w:r>
      <w:bookmarkEnd w:id="34"/>
    </w:p>
    <w:p w14:paraId="1D5EF9CC">
      <w:pPr>
        <w:spacing w:line="240" w:lineRule="auto"/>
        <w:jc w:val="both"/>
        <w:rPr>
          <w:rFonts w:ascii="新細明體" w:hAnsi="新細明體"/>
          <w:sz w:val="24"/>
          <w:szCs w:val="24"/>
        </w:rPr>
      </w:pPr>
      <w:r>
        <w:rPr>
          <w:rFonts w:hint="eastAsia" w:ascii="新細明體" w:hAnsi="新細明體"/>
          <w:sz w:val="24"/>
          <w:szCs w:val="24"/>
        </w:rPr>
        <w:t>George L. Kelling &amp; Catherine Coles於1996年提出修補破窗方法為執法者應盡早識別和控制高危險群，正如前文提到，如果執法者對破窗行為不聞不問、反應遲鈍，就會縱容更多的人去打爛更多的窗戶玻璃；執法者首先要護窗補窗，經常檢視，正視問題的根源，從根本上出發，還需要深刻反思問題的本身，解決的方法是盡快處理修好這「第一塊破的窗」，防止從眾心理蔓延，珍惜現有狀況，另－方面必須保護奉公守法的市民，而執法者的責任就是集思廣益，從善於流，找出漏洞，並及時更正過來，切勿玩弄心計或矯枉過正，更要以愛心教育市民，促進警民合作，維持公眾治安及協調社區內不同的團體處理治安問題。對犯錯的人要有鮮明的鑒別是非能力，明確指出：「所犯何事！後果如何！」有法必依，獎罰分明，樹立正氣。“勿以善小而不為，勿以惡小而為之”彼此間充滿了鼓勵與學習、體諒與互動，修復社會撕裂，那麼家園就會在正向能量的環境作用下，互相感染，和諧共處。</w:t>
      </w:r>
    </w:p>
    <w:p w14:paraId="743B19C3">
      <w:pPr>
        <w:widowControl/>
        <w:rPr>
          <w:rFonts w:ascii="新細明體" w:hAnsi="新細明體"/>
          <w:sz w:val="24"/>
          <w:szCs w:val="24"/>
        </w:rPr>
      </w:pPr>
      <w:r>
        <w:rPr>
          <w:rFonts w:ascii="新細明體" w:hAnsi="新細明體"/>
          <w:sz w:val="24"/>
          <w:szCs w:val="24"/>
        </w:rPr>
        <w:br w:type="page"/>
      </w:r>
    </w:p>
    <w:p w14:paraId="33F353D0">
      <w:pPr>
        <w:pStyle w:val="2"/>
        <w:shd w:val="clear" w:color="auto" w:fill="FFD965" w:themeFill="accent4" w:themeFillTint="99"/>
        <w:spacing w:line="480" w:lineRule="auto"/>
        <w:jc w:val="center"/>
        <w:rPr>
          <w:rFonts w:ascii="新細明體" w:hAnsi="新細明體" w:eastAsia="新細明體"/>
          <w:color w:val="000000" w:themeColor="text1"/>
          <w:sz w:val="24"/>
          <w:szCs w:val="24"/>
          <w14:textFill>
            <w14:solidFill>
              <w14:schemeClr w14:val="tx1"/>
            </w14:solidFill>
          </w14:textFill>
        </w:rPr>
      </w:pPr>
      <w:bookmarkStart w:id="35" w:name="_Toc27054988"/>
      <w:bookmarkStart w:id="36" w:name="_Hlk23249425"/>
      <w:bookmarkStart w:id="37" w:name="_Hlk26540859"/>
      <w:r>
        <w:rPr>
          <w:rFonts w:hint="eastAsia" w:ascii="新細明體" w:hAnsi="新細明體" w:eastAsia="新細明體"/>
          <w:color w:val="000000" w:themeColor="text1"/>
          <w:sz w:val="24"/>
          <w:szCs w:val="24"/>
          <w14:textFill>
            <w14:solidFill>
              <w14:schemeClr w14:val="tx1"/>
            </w14:solidFill>
          </w14:textFill>
        </w:rPr>
        <w:t>2</w:t>
      </w:r>
      <w:r>
        <w:rPr>
          <w:rFonts w:ascii="新細明體" w:hAnsi="新細明體" w:eastAsia="新細明體"/>
          <w:color w:val="000000" w:themeColor="text1"/>
          <w:sz w:val="24"/>
          <w:szCs w:val="24"/>
          <w14:textFill>
            <w14:solidFill>
              <w14:schemeClr w14:val="tx1"/>
            </w14:solidFill>
          </w14:textFill>
        </w:rPr>
        <w:t>1</w:t>
      </w:r>
      <w:r>
        <w:rPr>
          <w:rFonts w:hint="eastAsia" w:ascii="新細明體" w:hAnsi="新細明體" w:eastAsia="新細明體"/>
          <w:color w:val="000000" w:themeColor="text1"/>
          <w:sz w:val="24"/>
          <w:szCs w:val="24"/>
          <w14:textFill>
            <w14:solidFill>
              <w14:schemeClr w14:val="tx1"/>
            </w14:solidFill>
          </w14:textFill>
        </w:rPr>
        <w:t>世紀的香港社會運動</w:t>
      </w:r>
      <w:bookmarkEnd w:id="35"/>
      <w:bookmarkEnd w:id="36"/>
    </w:p>
    <w:bookmarkEnd w:id="37"/>
    <w:p w14:paraId="2006B01D">
      <w:pPr>
        <w:pStyle w:val="3"/>
        <w:rPr>
          <w:rFonts w:ascii="新細明體" w:hAnsi="新細明體" w:eastAsia="新細明體"/>
          <w:sz w:val="24"/>
          <w:szCs w:val="24"/>
        </w:rPr>
      </w:pPr>
      <w:bookmarkStart w:id="38" w:name="_Toc27054989"/>
      <w:bookmarkStart w:id="39" w:name="_Hlk27037802"/>
      <w:r>
        <w:rPr>
          <w:rFonts w:hint="eastAsia" w:ascii="新細明體" w:hAnsi="新細明體" w:eastAsia="新細明體"/>
          <w:sz w:val="24"/>
          <w:szCs w:val="24"/>
        </w:rPr>
        <w:t>資訊科技高速發展的影響</w:t>
      </w:r>
      <w:bookmarkEnd w:id="38"/>
    </w:p>
    <w:bookmarkEnd w:id="39"/>
    <w:p w14:paraId="35D4D8A7">
      <w:pPr>
        <w:spacing w:line="240" w:lineRule="auto"/>
        <w:jc w:val="both"/>
        <w:rPr>
          <w:rFonts w:ascii="新細明體" w:hAnsi="新細明體"/>
          <w:sz w:val="24"/>
          <w:szCs w:val="24"/>
        </w:rPr>
      </w:pPr>
      <w:r>
        <w:rPr>
          <w:rFonts w:hint="eastAsia" w:ascii="新細明體" w:hAnsi="新細明體"/>
          <w:sz w:val="24"/>
          <w:szCs w:val="24"/>
        </w:rPr>
        <w:t>以色列新派年青歷史學家哈瑞（</w:t>
      </w:r>
      <w:r>
        <w:rPr>
          <w:rFonts w:ascii="新細明體" w:hAnsi="新細明體"/>
          <w:sz w:val="24"/>
          <w:szCs w:val="24"/>
        </w:rPr>
        <w:t xml:space="preserve">Yuval </w:t>
      </w:r>
      <w:r>
        <w:rPr>
          <w:rFonts w:hint="eastAsia" w:ascii="新細明體" w:hAnsi="新細明體"/>
          <w:sz w:val="24"/>
          <w:szCs w:val="24"/>
        </w:rPr>
        <w:t>Noah Harari）的「21 Lessons for the 21st Century」書中的第一部分：「科技挑戰」的第一堂課「理想幻滅」中分析，現今，人工智能減省大量人手，自動化的普及將顛覆影響多個行業，例如會計界，將無需人手核數、報稅；醫院和診療所的病人可上網看病；運輸業司機被無人駕駛車取代；金融服務的保險、銀行、證券業的職位大量流失，人類將面對「產能過盛」的威脅。</w:t>
      </w:r>
    </w:p>
    <w:p w14:paraId="636A13A2">
      <w:pPr>
        <w:spacing w:line="240" w:lineRule="auto"/>
        <w:jc w:val="both"/>
        <w:rPr>
          <w:rFonts w:ascii="新細明體" w:hAnsi="新細明體"/>
          <w:sz w:val="24"/>
          <w:szCs w:val="24"/>
        </w:rPr>
      </w:pPr>
      <w:r>
        <w:rPr>
          <w:rFonts w:hint="eastAsia" w:ascii="新細明體" w:hAnsi="新細明體"/>
          <w:sz w:val="24"/>
          <w:szCs w:val="24"/>
        </w:rPr>
        <w:t>年青人畢業後，大部分轉眼失業，面對能力有限的特區政府，多半無力掌控，他們隱隱感覺到自己會被未來遺棄，愈來愈無存在價值。他們急於發揮自己的政治力量，以免為時太晚。民粹運動崛起，因為知道要反抗「無足輕重」要比反抗「剝削」來得困難。</w:t>
      </w:r>
      <w:sdt>
        <w:sdtPr>
          <w:rPr>
            <w:rFonts w:hint="eastAsia" w:ascii="新細明體" w:hAnsi="新細明體"/>
            <w:sz w:val="24"/>
            <w:szCs w:val="24"/>
          </w:rPr>
          <w:id w:val="-548767799"/>
        </w:sdtPr>
        <w:sdtEndPr>
          <w:rPr>
            <w:rFonts w:hint="eastAsia" w:ascii="新細明體" w:hAnsi="新細明體"/>
            <w:sz w:val="24"/>
            <w:szCs w:val="24"/>
          </w:rPr>
        </w:sdtEndPr>
        <w:sdtContent>
          <w:r>
            <w:rPr>
              <w:rFonts w:ascii="新細明體" w:hAnsi="新細明體"/>
              <w:sz w:val="24"/>
              <w:szCs w:val="24"/>
            </w:rPr>
            <w:fldChar w:fldCharType="begin"/>
          </w:r>
          <w:r>
            <w:rPr>
              <w:rFonts w:ascii="新細明體" w:hAnsi="新細明體"/>
              <w:sz w:val="24"/>
              <w:szCs w:val="24"/>
            </w:rPr>
            <w:instrText xml:space="preserve"> CITATION Noa18 \l 15369 </w:instrText>
          </w:r>
          <w:r>
            <w:rPr>
              <w:rFonts w:ascii="新細明體" w:hAnsi="新細明體"/>
              <w:sz w:val="24"/>
              <w:szCs w:val="24"/>
            </w:rPr>
            <w:fldChar w:fldCharType="separate"/>
          </w:r>
          <w:r>
            <w:rPr>
              <w:rFonts w:ascii="新細明體" w:hAnsi="新細明體"/>
              <w:sz w:val="24"/>
              <w:szCs w:val="24"/>
            </w:rPr>
            <w:t xml:space="preserve"> (Harari, 2018)</w:t>
          </w:r>
          <w:r>
            <w:rPr>
              <w:rFonts w:ascii="新細明體" w:hAnsi="新細明體"/>
              <w:sz w:val="24"/>
              <w:szCs w:val="24"/>
            </w:rPr>
            <w:fldChar w:fldCharType="end"/>
          </w:r>
        </w:sdtContent>
      </w:sdt>
      <w:r>
        <w:rPr>
          <w:rFonts w:ascii="新細明體" w:hAnsi="新細明體"/>
          <w:sz w:val="24"/>
          <w:szCs w:val="24"/>
        </w:rPr>
        <w:t xml:space="preserve"> </w:t>
      </w:r>
      <w:r>
        <w:rPr>
          <w:rFonts w:hint="eastAsia" w:ascii="新細明體" w:hAnsi="新細明體"/>
          <w:sz w:val="24"/>
          <w:szCs w:val="24"/>
        </w:rPr>
        <w:t>顛覆性科技(</w:t>
      </w:r>
      <w:r>
        <w:rPr>
          <w:rFonts w:ascii="新細明體" w:hAnsi="新細明體"/>
          <w:sz w:val="24"/>
          <w:szCs w:val="24"/>
        </w:rPr>
        <w:t>Disruptive Innovation)</w:t>
      </w:r>
      <w:r>
        <w:rPr>
          <w:rFonts w:hint="eastAsia"/>
        </w:rPr>
        <w:t xml:space="preserve"> </w:t>
      </w:r>
      <w:r>
        <w:rPr>
          <w:rFonts w:hint="eastAsia" w:ascii="新細明體" w:hAnsi="新細明體"/>
          <w:sz w:val="24"/>
          <w:szCs w:val="24"/>
        </w:rPr>
        <w:t>帶來勞動人口的焦慮，很多中產階級都已失業或有失業危機，感覺被加速淘汰中。社區(</w:t>
      </w:r>
      <w:r>
        <w:rPr>
          <w:rFonts w:ascii="新細明體" w:hAnsi="新細明體"/>
          <w:sz w:val="24"/>
          <w:szCs w:val="24"/>
        </w:rPr>
        <w:t>Community)</w:t>
      </w:r>
      <w:r>
        <w:rPr>
          <w:rFonts w:hint="eastAsia"/>
        </w:rPr>
        <w:t xml:space="preserve"> </w:t>
      </w:r>
      <w:r>
        <w:rPr>
          <w:rFonts w:hint="eastAsia" w:ascii="新細明體" w:hAnsi="新細明體"/>
          <w:sz w:val="24"/>
          <w:szCs w:val="24"/>
        </w:rPr>
        <w:t>受科技變革帶來猛烈不均的衝擊，面對不平衡、不公平，未來的世界，小部份人以科技擁有極大的財富、權力和影響力，這失衡現像越來越明顯，中產和年青人的焦慮變成憤怒，再受政治人物引導，矛頭直指政府、移民、進口商、地產商、富豪和既得利益者，社會運動因此而應運而生。</w:t>
      </w:r>
      <w:sdt>
        <w:sdtPr>
          <w:rPr>
            <w:rFonts w:hint="eastAsia" w:ascii="新細明體" w:hAnsi="新細明體"/>
            <w:sz w:val="24"/>
            <w:szCs w:val="24"/>
          </w:rPr>
          <w:id w:val="1064530387"/>
        </w:sdtPr>
        <w:sdtEndPr>
          <w:rPr>
            <w:rFonts w:hint="eastAsia" w:ascii="新細明體" w:hAnsi="新細明體"/>
            <w:sz w:val="24"/>
            <w:szCs w:val="24"/>
          </w:rPr>
        </w:sdtEndPr>
        <w:sdtContent>
          <w:r>
            <w:rPr>
              <w:rFonts w:ascii="新細明體" w:hAnsi="新細明體"/>
              <w:sz w:val="24"/>
              <w:szCs w:val="24"/>
            </w:rPr>
            <w:fldChar w:fldCharType="begin"/>
          </w:r>
          <w:r>
            <w:rPr>
              <w:rFonts w:ascii="新細明體" w:hAnsi="新細明體"/>
              <w:sz w:val="24"/>
              <w:szCs w:val="24"/>
            </w:rPr>
            <w:instrText xml:space="preserve"> CITATION RRa20 \l 15369 </w:instrText>
          </w:r>
          <w:r>
            <w:rPr>
              <w:rFonts w:ascii="新細明體" w:hAnsi="新細明體"/>
              <w:sz w:val="24"/>
              <w:szCs w:val="24"/>
            </w:rPr>
            <w:fldChar w:fldCharType="separate"/>
          </w:r>
          <w:r>
            <w:rPr>
              <w:rFonts w:ascii="新細明體" w:hAnsi="新細明體"/>
              <w:sz w:val="24"/>
              <w:szCs w:val="24"/>
            </w:rPr>
            <w:t xml:space="preserve"> (Rajan, 2020)</w:t>
          </w:r>
          <w:r>
            <w:rPr>
              <w:rFonts w:ascii="新細明體" w:hAnsi="新細明體"/>
              <w:sz w:val="24"/>
              <w:szCs w:val="24"/>
            </w:rPr>
            <w:fldChar w:fldCharType="end"/>
          </w:r>
        </w:sdtContent>
      </w:sdt>
    </w:p>
    <w:p w14:paraId="1FEB2541">
      <w:pPr>
        <w:spacing w:line="240" w:lineRule="auto"/>
        <w:jc w:val="both"/>
        <w:rPr>
          <w:rFonts w:ascii="新細明體" w:hAnsi="新細明體"/>
          <w:sz w:val="24"/>
          <w:szCs w:val="24"/>
        </w:rPr>
      </w:pPr>
    </w:p>
    <w:p w14:paraId="01D02B29">
      <w:pPr>
        <w:widowControl/>
        <w:rPr>
          <w:rFonts w:ascii="新細明體" w:hAnsi="新細明體" w:cstheme="majorBidi"/>
          <w:b/>
          <w:bCs/>
          <w:color w:val="2F5597" w:themeColor="accent1" w:themeShade="BF"/>
          <w:sz w:val="24"/>
          <w:szCs w:val="24"/>
        </w:rPr>
      </w:pPr>
      <w:bookmarkStart w:id="40" w:name="_Toc27054990"/>
      <w:bookmarkStart w:id="41" w:name="_Hlk27037709"/>
      <w:r>
        <w:rPr>
          <w:rFonts w:hint="eastAsia" w:ascii="新細明體" w:hAnsi="新細明體"/>
          <w:b/>
          <w:bCs/>
          <w:color w:val="4472C4" w:themeColor="accent1"/>
          <w:sz w:val="24"/>
          <w:szCs w:val="24"/>
          <w14:textFill>
            <w14:solidFill>
              <w14:schemeClr w14:val="accent1"/>
            </w14:solidFill>
          </w14:textFill>
        </w:rPr>
        <w:t>新社交媒體環境</w:t>
      </w:r>
      <w:bookmarkEnd w:id="40"/>
    </w:p>
    <w:bookmarkEnd w:id="41"/>
    <w:p w14:paraId="1CDBA320">
      <w:pPr>
        <w:spacing w:line="240" w:lineRule="auto"/>
        <w:jc w:val="both"/>
        <w:rPr>
          <w:rFonts w:ascii="新細明體" w:hAnsi="新細明體"/>
          <w:sz w:val="24"/>
          <w:szCs w:val="24"/>
        </w:rPr>
      </w:pPr>
      <w:r>
        <w:rPr>
          <w:rFonts w:hint="eastAsia" w:ascii="新細明體" w:hAnsi="新細明體"/>
          <w:sz w:val="24"/>
          <w:szCs w:val="24"/>
        </w:rPr>
        <w:t>隨着新媒體技術的網絡媒體、手機媒體、社交媒體等迅速發展，市民通過新媒體參與政治近年來已經成為常態，除了作為獲取新聞，和意見表達的平台，新媒體亦成為年青人參與政治過程中組織動員的工具，效率之高、速度之快，令人讚嘆。但心智未成熟的青少年，很容易被另有目的的人誤導和洗腦，且容易受外來環境影響，產生非理性亢奮感覺，並慢慢發展成一種典型的青年次文化現象和風氣，例如孟書強先生的論文描述的：「</w:t>
      </w:r>
      <w:r>
        <w:rPr>
          <w:rFonts w:hint="eastAsia" w:ascii="新細明體" w:hAnsi="新細明體"/>
          <w:i/>
          <w:iCs/>
          <w:sz w:val="24"/>
          <w:szCs w:val="24"/>
        </w:rPr>
        <w:t>網絡政治惡搞，以批判和諷刺的方式表達對嚴肅的現實生活和社會政治議題的切身感受和意願。</w:t>
      </w:r>
      <w:r>
        <w:rPr>
          <w:rFonts w:hint="eastAsia" w:ascii="新細明體" w:hAnsi="新細明體"/>
          <w:sz w:val="24"/>
          <w:szCs w:val="24"/>
        </w:rPr>
        <w:t>」</w:t>
      </w:r>
      <w:sdt>
        <w:sdtPr>
          <w:rPr>
            <w:rFonts w:ascii="新細明體" w:hAnsi="新細明體"/>
            <w:sz w:val="24"/>
            <w:szCs w:val="24"/>
          </w:rPr>
          <w:id w:val="325797194"/>
        </w:sdtPr>
        <w:sdtEndPr>
          <w:rPr>
            <w:rFonts w:ascii="新細明體" w:hAnsi="新細明體"/>
            <w:sz w:val="24"/>
            <w:szCs w:val="24"/>
          </w:rPr>
        </w:sdtEndPr>
        <w:sdtContent>
          <w:r>
            <w:rPr>
              <w:rFonts w:ascii="新細明體" w:hAnsi="新細明體"/>
              <w:sz w:val="24"/>
              <w:szCs w:val="24"/>
            </w:rPr>
            <w:fldChar w:fldCharType="begin"/>
          </w:r>
          <w:r>
            <w:rPr>
              <w:rFonts w:ascii="新細明體" w:hAnsi="新細明體"/>
              <w:sz w:val="24"/>
              <w:szCs w:val="24"/>
            </w:rPr>
            <w:instrText xml:space="preserve"> CITATION 孟書強18 \l 15369 </w:instrText>
          </w:r>
          <w:r>
            <w:rPr>
              <w:rFonts w:ascii="新細明體" w:hAnsi="新細明體"/>
              <w:sz w:val="24"/>
              <w:szCs w:val="24"/>
            </w:rPr>
            <w:fldChar w:fldCharType="separate"/>
          </w:r>
          <w:r>
            <w:rPr>
              <w:rFonts w:ascii="新細明體" w:hAnsi="新細明體"/>
              <w:sz w:val="24"/>
              <w:szCs w:val="24"/>
            </w:rPr>
            <w:t xml:space="preserve"> (孟書強, 2018)</w:t>
          </w:r>
          <w:r>
            <w:rPr>
              <w:rFonts w:ascii="新細明體" w:hAnsi="新細明體"/>
              <w:sz w:val="24"/>
              <w:szCs w:val="24"/>
            </w:rPr>
            <w:fldChar w:fldCharType="end"/>
          </w:r>
        </w:sdtContent>
      </w:sdt>
      <w:r>
        <w:rPr>
          <w:rFonts w:hint="eastAsia" w:ascii="新細明體" w:hAnsi="新細明體"/>
          <w:sz w:val="24"/>
          <w:szCs w:val="24"/>
        </w:rPr>
        <w:t>。</w:t>
      </w:r>
      <w:bookmarkStart w:id="42" w:name="_Hlk32928675"/>
      <w:r>
        <w:rPr>
          <w:rFonts w:hint="eastAsia" w:ascii="新細明體" w:hAnsi="新細明體"/>
          <w:sz w:val="24"/>
          <w:szCs w:val="24"/>
        </w:rPr>
        <w:t>互聯網之父貝爾納斯(</w:t>
      </w:r>
      <w:r>
        <w:rPr>
          <w:rFonts w:ascii="新細明體" w:hAnsi="新細明體"/>
          <w:sz w:val="24"/>
          <w:szCs w:val="24"/>
        </w:rPr>
        <w:t>Tim Berners-Lee)</w:t>
      </w:r>
      <w:r>
        <w:rPr>
          <w:rFonts w:hint="eastAsia"/>
        </w:rPr>
        <w:t xml:space="preserve"> </w:t>
      </w:r>
      <w:bookmarkEnd w:id="42"/>
      <w:r>
        <w:rPr>
          <w:rFonts w:hint="eastAsia" w:ascii="新細明體" w:hAnsi="新細明體"/>
          <w:sz w:val="24"/>
          <w:szCs w:val="24"/>
        </w:rPr>
        <w:t>稱人類濫用網絡，已使這個監管不足的網絡世界，成為發放政治操控、侵犯私隱和假新聞的敵托邦(</w:t>
      </w:r>
      <w:r>
        <w:rPr>
          <w:rFonts w:ascii="新細明體" w:hAnsi="新細明體"/>
          <w:sz w:val="24"/>
          <w:szCs w:val="24"/>
        </w:rPr>
        <w:t>Dystopia)</w:t>
      </w:r>
      <w:r>
        <w:rPr>
          <w:rFonts w:hint="eastAsia"/>
        </w:rPr>
        <w:t xml:space="preserve"> </w:t>
      </w:r>
      <w:r>
        <w:rPr>
          <w:rFonts w:hint="eastAsia" w:ascii="新細明體" w:hAnsi="新細明體"/>
          <w:sz w:val="24"/>
          <w:szCs w:val="24"/>
        </w:rPr>
        <w:t>，目的在破壞和分化、剝削網絡行善的潛力。</w:t>
      </w:r>
      <w:sdt>
        <w:sdtPr>
          <w:rPr>
            <w:rFonts w:hint="eastAsia" w:ascii="新細明體" w:hAnsi="新細明體"/>
            <w:sz w:val="24"/>
            <w:szCs w:val="24"/>
          </w:rPr>
          <w:id w:val="1352379354"/>
        </w:sdtPr>
        <w:sdtEndPr>
          <w:rPr>
            <w:rFonts w:hint="eastAsia" w:ascii="新細明體" w:hAnsi="新細明體"/>
            <w:sz w:val="24"/>
            <w:szCs w:val="24"/>
          </w:rPr>
        </w:sdtEndPr>
        <w:sdtContent>
          <w:r>
            <w:rPr>
              <w:rFonts w:ascii="新細明體" w:hAnsi="新細明體"/>
              <w:sz w:val="24"/>
              <w:szCs w:val="24"/>
            </w:rPr>
            <w:fldChar w:fldCharType="begin"/>
          </w:r>
          <w:r>
            <w:rPr>
              <w:rFonts w:ascii="新細明體" w:hAnsi="新細明體"/>
              <w:sz w:val="24"/>
              <w:szCs w:val="24"/>
            </w:rPr>
            <w:instrText xml:space="preserve"> CITATION Wor20 \l 15369 </w:instrText>
          </w:r>
          <w:r>
            <w:rPr>
              <w:rFonts w:ascii="新細明體" w:hAnsi="新細明體"/>
              <w:sz w:val="24"/>
              <w:szCs w:val="24"/>
            </w:rPr>
            <w:fldChar w:fldCharType="separate"/>
          </w:r>
          <w:r>
            <w:rPr>
              <w:rFonts w:ascii="新細明體" w:hAnsi="新細明體"/>
              <w:sz w:val="24"/>
              <w:szCs w:val="24"/>
            </w:rPr>
            <w:t xml:space="preserve"> (World Wide Web Foundation, 2020)</w:t>
          </w:r>
          <w:r>
            <w:rPr>
              <w:rFonts w:ascii="新細明體" w:hAnsi="新細明體"/>
              <w:sz w:val="24"/>
              <w:szCs w:val="24"/>
            </w:rPr>
            <w:fldChar w:fldCharType="end"/>
          </w:r>
        </w:sdtContent>
      </w:sdt>
    </w:p>
    <w:p w14:paraId="2B068755">
      <w:pPr>
        <w:spacing w:line="240" w:lineRule="auto"/>
        <w:jc w:val="both"/>
        <w:rPr>
          <w:rFonts w:ascii="新細明體" w:hAnsi="新細明體"/>
          <w:sz w:val="24"/>
          <w:szCs w:val="24"/>
        </w:rPr>
      </w:pPr>
      <w:r>
        <w:rPr>
          <w:rFonts w:hint="eastAsia" w:ascii="新細明體" w:hAnsi="新細明體"/>
          <w:sz w:val="24"/>
          <w:szCs w:val="24"/>
        </w:rPr>
        <w:t>2016年以來，在香港只需要是合法註冊團體，並無學識要求，該團體主要從事新聞行業及具原創報導，即可獲發採訪證，成為記者，享有新聞從業員的職能和括免，道德操守成疑。當部份有政治立場或商業立場的傳媒，在未有作查真偽（</w:t>
      </w:r>
      <w:r>
        <w:rPr>
          <w:rFonts w:ascii="新細明體" w:hAnsi="新細明體"/>
          <w:sz w:val="24"/>
          <w:szCs w:val="24"/>
        </w:rPr>
        <w:t>Fact Check</w:t>
      </w:r>
      <w:r>
        <w:rPr>
          <w:rFonts w:hint="eastAsia" w:ascii="新細明體" w:hAnsi="新細明體"/>
          <w:sz w:val="24"/>
          <w:szCs w:val="24"/>
        </w:rPr>
        <w:t>）的思考，便有心或無心地發放未經證實的小道消息，煽動民情，隨意放風點火，說者無心，未有究証之下，發放假新聞，聽者認真，產生</w:t>
      </w:r>
      <w:bookmarkStart w:id="43" w:name="_Hlk23834526"/>
      <w:r>
        <w:rPr>
          <w:rFonts w:hint="eastAsia" w:ascii="新細明體" w:hAnsi="新細明體"/>
          <w:sz w:val="24"/>
          <w:szCs w:val="24"/>
        </w:rPr>
        <w:t>群體極化效應</w:t>
      </w:r>
      <w:bookmarkEnd w:id="43"/>
      <w:r>
        <w:rPr>
          <w:rFonts w:hint="eastAsia" w:ascii="新細明體" w:hAnsi="新細明體"/>
          <w:sz w:val="24"/>
          <w:szCs w:val="24"/>
        </w:rPr>
        <w:t>(</w:t>
      </w:r>
      <w:r>
        <w:rPr>
          <w:rFonts w:ascii="新細明體" w:hAnsi="新細明體"/>
          <w:sz w:val="24"/>
          <w:szCs w:val="24"/>
        </w:rPr>
        <w:t>Group Polarization)</w:t>
      </w:r>
      <w:r>
        <w:rPr>
          <w:rFonts w:hint="eastAsia" w:ascii="新細明體" w:hAnsi="新細明體"/>
          <w:sz w:val="24"/>
          <w:szCs w:val="24"/>
        </w:rPr>
        <w:t>(附件</w:t>
      </w:r>
      <w:r>
        <w:rPr>
          <w:rFonts w:ascii="新細明體" w:hAnsi="新細明體"/>
          <w:sz w:val="24"/>
          <w:szCs w:val="24"/>
        </w:rPr>
        <w:t xml:space="preserve"> 3)</w:t>
      </w:r>
      <w:r>
        <w:rPr>
          <w:rFonts w:hint="eastAsia" w:ascii="新細明體" w:hAnsi="新細明體"/>
          <w:sz w:val="24"/>
          <w:szCs w:val="24"/>
        </w:rPr>
        <w:t>，有些人更甘於被騙，令fact check 一字淪為口號，假消息卻繼續蔓延，人云亦云，以「信我就得，唔好問咁多」</w:t>
      </w:r>
      <w:bookmarkStart w:id="44" w:name="_Hlk23834604"/>
      <w:r>
        <w:rPr>
          <w:rFonts w:hint="eastAsia" w:ascii="新細明體" w:hAnsi="新細明體"/>
          <w:sz w:val="24"/>
          <w:szCs w:val="24"/>
        </w:rPr>
        <w:t>，（孟書強, 2018</w:t>
      </w:r>
      <w:bookmarkEnd w:id="44"/>
      <w:r>
        <w:rPr>
          <w:rFonts w:hint="eastAsia" w:ascii="新細明體" w:hAnsi="新細明體"/>
          <w:sz w:val="24"/>
          <w:szCs w:val="24"/>
        </w:rPr>
        <w:t>）</w:t>
      </w:r>
      <w:sdt>
        <w:sdtPr>
          <w:rPr>
            <w:rFonts w:hint="eastAsia" w:ascii="新細明體" w:hAnsi="新細明體"/>
            <w:sz w:val="24"/>
            <w:szCs w:val="24"/>
          </w:rPr>
          <w:id w:val="253013592"/>
        </w:sdtPr>
        <w:sdtEndPr>
          <w:rPr>
            <w:rFonts w:hint="eastAsia" w:ascii="新細明體" w:hAnsi="新細明體"/>
            <w:sz w:val="24"/>
            <w:szCs w:val="24"/>
          </w:rPr>
        </w:sdtEndPr>
        <w:sdtContent>
          <w:r>
            <w:rPr>
              <w:rFonts w:ascii="新細明體" w:hAnsi="新細明體"/>
              <w:sz w:val="24"/>
              <w:szCs w:val="24"/>
            </w:rPr>
            <w:fldChar w:fldCharType="begin"/>
          </w:r>
          <w:r>
            <w:rPr>
              <w:rFonts w:ascii="新細明體" w:hAnsi="新細明體"/>
              <w:sz w:val="24"/>
              <w:szCs w:val="24"/>
            </w:rPr>
            <w:instrText xml:space="preserve"> CITATION 顧秋田19 \l 15369 </w:instrText>
          </w:r>
          <w:r>
            <w:rPr>
              <w:rFonts w:ascii="新細明體" w:hAnsi="新細明體"/>
              <w:sz w:val="24"/>
              <w:szCs w:val="24"/>
            </w:rPr>
            <w:fldChar w:fldCharType="separate"/>
          </w:r>
          <w:r>
            <w:rPr>
              <w:rFonts w:ascii="新細明體" w:hAnsi="新細明體"/>
              <w:sz w:val="24"/>
              <w:szCs w:val="24"/>
            </w:rPr>
            <w:t xml:space="preserve"> (顧秋田, 2019)</w:t>
          </w:r>
          <w:r>
            <w:rPr>
              <w:rFonts w:ascii="新細明體" w:hAnsi="新細明體"/>
              <w:sz w:val="24"/>
              <w:szCs w:val="24"/>
            </w:rPr>
            <w:fldChar w:fldCharType="end"/>
          </w:r>
        </w:sdtContent>
      </w:sdt>
      <w:r>
        <w:rPr>
          <w:rFonts w:ascii="新細明體" w:hAnsi="新細明體"/>
          <w:sz w:val="24"/>
          <w:szCs w:val="24"/>
        </w:rPr>
        <w:t xml:space="preserve"> </w:t>
      </w:r>
      <w:r>
        <w:rPr>
          <w:rFonts w:hint="eastAsia" w:ascii="新細明體" w:hAnsi="新細明體"/>
          <w:sz w:val="24"/>
          <w:szCs w:val="24"/>
        </w:rPr>
        <w:t>自我感覺良好下，犯下大錯，竟向無辜人討債也不知。</w:t>
      </w:r>
    </w:p>
    <w:p w14:paraId="0B9821E9">
      <w:pPr>
        <w:spacing w:line="240" w:lineRule="auto"/>
        <w:jc w:val="both"/>
        <w:rPr>
          <w:rFonts w:ascii="新細明體" w:hAnsi="新細明體"/>
          <w:sz w:val="24"/>
          <w:szCs w:val="24"/>
        </w:rPr>
      </w:pPr>
    </w:p>
    <w:p w14:paraId="09DC511C">
      <w:pPr>
        <w:spacing w:line="240" w:lineRule="auto"/>
        <w:jc w:val="both"/>
        <w:rPr>
          <w:rFonts w:ascii="新細明體" w:hAnsi="新細明體"/>
          <w:sz w:val="24"/>
          <w:szCs w:val="24"/>
        </w:rPr>
      </w:pPr>
    </w:p>
    <w:p w14:paraId="32C14E38">
      <w:pPr>
        <w:pStyle w:val="3"/>
        <w:rPr>
          <w:rFonts w:ascii="新細明體" w:hAnsi="新細明體" w:eastAsia="新細明體"/>
          <w:sz w:val="24"/>
          <w:szCs w:val="24"/>
        </w:rPr>
      </w:pPr>
      <w:bookmarkStart w:id="45" w:name="_Toc27054991"/>
      <w:r>
        <w:rPr>
          <w:rFonts w:hint="eastAsia" w:ascii="新細明體" w:hAnsi="新細明體" w:eastAsia="新細明體"/>
          <w:sz w:val="24"/>
          <w:szCs w:val="24"/>
        </w:rPr>
        <w:t>人生價值觀的改變</w:t>
      </w:r>
      <w:bookmarkEnd w:id="45"/>
    </w:p>
    <w:p w14:paraId="7260348D">
      <w:pPr>
        <w:spacing w:line="240" w:lineRule="auto"/>
        <w:jc w:val="both"/>
        <w:rPr>
          <w:rFonts w:ascii="新細明體" w:hAnsi="新細明體"/>
          <w:b/>
          <w:bCs/>
          <w:color w:val="FFC000" w:themeColor="accent4"/>
          <w:sz w:val="24"/>
          <w:szCs w:val="24"/>
          <w14:textFill>
            <w14:solidFill>
              <w14:schemeClr w14:val="accent4"/>
            </w14:solidFill>
          </w14:textFill>
        </w:rPr>
      </w:pPr>
      <w:r>
        <w:rPr>
          <w:rFonts w:hint="eastAsia" w:ascii="新細明體" w:hAnsi="新細明體"/>
          <w:sz w:val="24"/>
          <w:szCs w:val="24"/>
        </w:rPr>
        <w:t>艾瑞克．阿奇思特（Eric Almquist）的 30種「價值要素」（</w:t>
      </w:r>
      <w:r>
        <w:rPr>
          <w:rFonts w:ascii="新細明體" w:hAnsi="新細明體"/>
          <w:sz w:val="24"/>
          <w:szCs w:val="24"/>
        </w:rPr>
        <w:t>Element of Value</w:t>
      </w:r>
      <w:r>
        <w:rPr>
          <w:rFonts w:hint="eastAsia" w:ascii="新細明體" w:hAnsi="新細明體"/>
          <w:sz w:val="24"/>
          <w:szCs w:val="24"/>
        </w:rPr>
        <w:t>），提醒我們，2</w:t>
      </w:r>
      <w:r>
        <w:rPr>
          <w:rFonts w:ascii="新細明體" w:hAnsi="新細明體"/>
          <w:sz w:val="24"/>
          <w:szCs w:val="24"/>
        </w:rPr>
        <w:t>1</w:t>
      </w:r>
      <w:r>
        <w:rPr>
          <w:rFonts w:hint="eastAsia" w:ascii="新細明體" w:hAnsi="新細明體"/>
          <w:sz w:val="24"/>
          <w:szCs w:val="24"/>
        </w:rPr>
        <w:t>世紀人類追求的最高境界是</w:t>
      </w:r>
      <w:bookmarkStart w:id="46" w:name="_Hlk24375197"/>
      <w:r>
        <w:rPr>
          <w:rFonts w:hint="eastAsia" w:ascii="新細明體" w:hAnsi="新細明體"/>
          <w:sz w:val="24"/>
          <w:szCs w:val="24"/>
        </w:rPr>
        <w:t>擁有社會影響力的 Self-transcendence</w:t>
      </w:r>
      <w:bookmarkEnd w:id="46"/>
      <w:r>
        <w:rPr>
          <w:rFonts w:hint="eastAsia" w:ascii="新細明體" w:hAnsi="新細明體"/>
          <w:sz w:val="24"/>
          <w:szCs w:val="24"/>
        </w:rPr>
        <w:t>, 可解作超越追求、出類拔萃、超凡脫俗或神化論。該理論把Maslow的「需求層次理論」中最高的自我認同（Self-actualization）追求，再推進了一級。</w:t>
      </w:r>
      <w:sdt>
        <w:sdtPr>
          <w:rPr>
            <w:rFonts w:hint="eastAsia" w:ascii="新細明體" w:hAnsi="新細明體"/>
            <w:sz w:val="24"/>
            <w:szCs w:val="24"/>
          </w:rPr>
          <w:id w:val="1363555799"/>
        </w:sdtPr>
        <w:sdtEndPr>
          <w:rPr>
            <w:rFonts w:hint="eastAsia" w:ascii="新細明體" w:hAnsi="新細明體"/>
            <w:sz w:val="24"/>
            <w:szCs w:val="24"/>
          </w:rPr>
        </w:sdtEndPr>
        <w:sdtContent>
          <w:r>
            <w:rPr>
              <w:rFonts w:ascii="新細明體" w:hAnsi="新細明體"/>
              <w:sz w:val="24"/>
              <w:szCs w:val="24"/>
            </w:rPr>
            <w:fldChar w:fldCharType="begin"/>
          </w:r>
          <w:r>
            <w:rPr>
              <w:rFonts w:ascii="新細明體" w:hAnsi="新細明體"/>
              <w:sz w:val="24"/>
              <w:szCs w:val="24"/>
            </w:rPr>
            <w:instrText xml:space="preserve"> CITATION Wha18 \l 15369 </w:instrText>
          </w:r>
          <w:r>
            <w:rPr>
              <w:rFonts w:ascii="新細明體" w:hAnsi="新細明體"/>
              <w:sz w:val="24"/>
              <w:szCs w:val="24"/>
            </w:rPr>
            <w:fldChar w:fldCharType="separate"/>
          </w:r>
          <w:r>
            <w:rPr>
              <w:rFonts w:ascii="新細明體" w:hAnsi="新細明體"/>
              <w:sz w:val="24"/>
              <w:szCs w:val="24"/>
            </w:rPr>
            <w:t xml:space="preserve"> (Pennsylvania, 2018)</w:t>
          </w:r>
          <w:r>
            <w:rPr>
              <w:rFonts w:ascii="新細明體" w:hAnsi="新細明體"/>
              <w:sz w:val="24"/>
              <w:szCs w:val="24"/>
            </w:rPr>
            <w:fldChar w:fldCharType="end"/>
          </w:r>
        </w:sdtContent>
      </w:sdt>
      <w:bookmarkStart w:id="47" w:name="_Hlk23328030"/>
      <w:sdt>
        <w:sdtPr>
          <w:rPr>
            <w:rFonts w:hint="eastAsia" w:ascii="新細明體" w:hAnsi="新細明體"/>
            <w:sz w:val="24"/>
            <w:szCs w:val="24"/>
          </w:rPr>
          <w:id w:val="-722680305"/>
        </w:sdtPr>
        <w:sdtEndPr>
          <w:rPr>
            <w:rFonts w:hint="eastAsia" w:ascii="新細明體" w:hAnsi="新細明體"/>
            <w:sz w:val="24"/>
            <w:szCs w:val="24"/>
          </w:rPr>
        </w:sdtEndPr>
        <w:sdtContent>
          <w:r>
            <w:rPr>
              <w:rFonts w:ascii="新細明體" w:hAnsi="新細明體"/>
              <w:sz w:val="24"/>
              <w:szCs w:val="24"/>
            </w:rPr>
            <w:fldChar w:fldCharType="begin"/>
          </w:r>
          <w:r>
            <w:rPr>
              <w:rFonts w:ascii="新細明體" w:hAnsi="新細明體"/>
              <w:sz w:val="24"/>
              <w:szCs w:val="24"/>
            </w:rPr>
            <w:instrText xml:space="preserve"> CITATION Eri161 \l 15369 </w:instrText>
          </w:r>
          <w:r>
            <w:rPr>
              <w:rFonts w:ascii="新細明體" w:hAnsi="新細明體"/>
              <w:sz w:val="24"/>
              <w:szCs w:val="24"/>
            </w:rPr>
            <w:fldChar w:fldCharType="separate"/>
          </w:r>
          <w:r>
            <w:rPr>
              <w:rFonts w:ascii="新細明體" w:hAnsi="新細明體"/>
              <w:sz w:val="24"/>
              <w:szCs w:val="24"/>
            </w:rPr>
            <w:t xml:space="preserve"> (Almquist, 2016)</w:t>
          </w:r>
          <w:r>
            <w:rPr>
              <w:rFonts w:ascii="新細明體" w:hAnsi="新細明體"/>
              <w:sz w:val="24"/>
              <w:szCs w:val="24"/>
            </w:rPr>
            <w:fldChar w:fldCharType="end"/>
          </w:r>
        </w:sdtContent>
      </w:sdt>
      <w:bookmarkEnd w:id="47"/>
    </w:p>
    <w:p w14:paraId="180C80A0">
      <w:pPr>
        <w:spacing w:line="240" w:lineRule="auto"/>
        <w:jc w:val="both"/>
        <w:rPr>
          <w:rFonts w:ascii="新細明體" w:hAnsi="新細明體"/>
          <w:sz w:val="24"/>
          <w:szCs w:val="24"/>
        </w:rPr>
      </w:pPr>
      <w:r>
        <w:rPr>
          <w:rFonts w:hint="eastAsia" w:ascii="新細明體" w:hAnsi="新細明體"/>
          <w:sz w:val="24"/>
          <w:szCs w:val="24"/>
        </w:rPr>
        <w:t>年青人無需如先聖孟子說的「天將降大任於斯人，必先苦其心志，勞其筋骨、餓其體膚</w:t>
      </w:r>
      <w:r>
        <w:rPr>
          <w:rFonts w:ascii="新細明體" w:hAnsi="新細明體"/>
          <w:sz w:val="24"/>
          <w:szCs w:val="24"/>
        </w:rPr>
        <w:t>……</w:t>
      </w:r>
      <w:r>
        <w:rPr>
          <w:rFonts w:hint="eastAsia" w:ascii="新細明體" w:hAnsi="新細明體"/>
          <w:sz w:val="24"/>
          <w:szCs w:val="24"/>
        </w:rPr>
        <w:t>」，而只要付出即時表面廉宜的代價，參與民粹的示威活動，便可輕易獲得社會的影響力，和志同道合者的掌聲，正正如艾瑞克描述的以省時、低成本，便可爭取可能改變生活的要素，更可送給下一代的「傳家寶」（</w:t>
      </w:r>
      <w:r>
        <w:rPr>
          <w:rFonts w:ascii="新細明體" w:hAnsi="新細明體"/>
          <w:sz w:val="24"/>
          <w:szCs w:val="24"/>
        </w:rPr>
        <w:t>heirloom</w:t>
      </w:r>
      <w:r>
        <w:rPr>
          <w:rFonts w:hint="eastAsia" w:ascii="新細明體" w:hAnsi="新細明體"/>
          <w:sz w:val="24"/>
          <w:szCs w:val="24"/>
        </w:rPr>
        <w:t>）（</w:t>
      </w:r>
      <w:r>
        <w:rPr>
          <w:rFonts w:ascii="新細明體" w:hAnsi="新細明體"/>
          <w:sz w:val="24"/>
          <w:szCs w:val="24"/>
        </w:rPr>
        <w:t>Almquist, 2016</w:t>
      </w:r>
      <w:r>
        <w:rPr>
          <w:rFonts w:hint="eastAsia" w:ascii="新細明體" w:hAnsi="新細明體"/>
          <w:sz w:val="24"/>
          <w:szCs w:val="24"/>
        </w:rPr>
        <w:t>），年青人和群眾迷醉在頭上的光環和感官魅力（</w:t>
      </w:r>
      <w:r>
        <w:rPr>
          <w:rFonts w:ascii="新細明體" w:hAnsi="新細明體"/>
          <w:sz w:val="24"/>
          <w:szCs w:val="24"/>
        </w:rPr>
        <w:t>sensory appeal</w:t>
      </w:r>
      <w:r>
        <w:rPr>
          <w:rFonts w:hint="eastAsia" w:ascii="新細明體" w:hAnsi="新細明體"/>
          <w:sz w:val="24"/>
          <w:szCs w:val="24"/>
        </w:rPr>
        <w:t>），任意妄為，以「違法達義」的手段，追求民主，爭取過程中，往往疏忽了面對的風險，妄顧公眾的利益，和做出損人不利己的行為。恐怕追求擁有社會影響力的 Self-transcendence，是登山容易，下山難。</w:t>
      </w:r>
    </w:p>
    <w:p w14:paraId="50E340F1">
      <w:pPr>
        <w:spacing w:line="240" w:lineRule="auto"/>
        <w:jc w:val="center"/>
        <w:rPr>
          <w:rFonts w:ascii="新細明體" w:hAnsi="新細明體"/>
          <w:sz w:val="24"/>
          <w:szCs w:val="24"/>
        </w:rPr>
      </w:pPr>
      <w:r>
        <w:drawing>
          <wp:inline distT="0" distB="0" distL="0" distR="0">
            <wp:extent cx="4476115" cy="60960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a:stretch>
                      <a:fillRect/>
                    </a:stretch>
                  </pic:blipFill>
                  <pic:spPr>
                    <a:xfrm>
                      <a:off x="0" y="0"/>
                      <a:ext cx="4505822" cy="6135726"/>
                    </a:xfrm>
                    <a:prstGeom prst="rect">
                      <a:avLst/>
                    </a:prstGeom>
                  </pic:spPr>
                </pic:pic>
              </a:graphicData>
            </a:graphic>
          </wp:inline>
        </w:drawing>
      </w:r>
    </w:p>
    <w:p w14:paraId="17456BA6">
      <w:pPr>
        <w:spacing w:line="240" w:lineRule="auto"/>
        <w:jc w:val="both"/>
        <w:rPr>
          <w:rFonts w:ascii="新細明體" w:hAnsi="新細明體"/>
          <w:sz w:val="24"/>
          <w:szCs w:val="24"/>
        </w:rPr>
      </w:pPr>
    </w:p>
    <w:p w14:paraId="7D8FAF78">
      <w:pPr>
        <w:pStyle w:val="3"/>
        <w:rPr>
          <w:rFonts w:ascii="新細明體" w:hAnsi="新細明體" w:eastAsia="新細明體"/>
          <w:sz w:val="24"/>
          <w:szCs w:val="24"/>
        </w:rPr>
      </w:pPr>
      <w:bookmarkStart w:id="48" w:name="_Toc27054992"/>
      <w:r>
        <w:rPr>
          <w:rFonts w:hint="eastAsia" w:ascii="新細明體" w:hAnsi="新細明體" w:eastAsia="新細明體"/>
          <w:sz w:val="24"/>
          <w:szCs w:val="24"/>
        </w:rPr>
        <w:t>民粹狂潮</w:t>
      </w:r>
      <w:bookmarkEnd w:id="48"/>
    </w:p>
    <w:p w14:paraId="3A46EA19">
      <w:pPr>
        <w:spacing w:line="240" w:lineRule="auto"/>
        <w:jc w:val="both"/>
        <w:rPr>
          <w:rFonts w:ascii="新細明體" w:hAnsi="新細明體"/>
          <w:sz w:val="24"/>
          <w:szCs w:val="24"/>
        </w:rPr>
      </w:pPr>
      <w:r>
        <w:rPr>
          <w:rFonts w:hint="eastAsia" w:ascii="新細明體" w:hAnsi="新細明體"/>
          <w:sz w:val="24"/>
          <w:szCs w:val="24"/>
        </w:rPr>
        <w:t>就如荷蘭政治學家穆德（Cas Mudde）解讀民粹運動為「善良大眾」與「邪惡或腐敗青英」之間的對抗。過去20年（1998-2018）民粹主義遍地開花，支持者在歐洲31國的全國大選中增加了兩倍，民粹政黨的總得票超過2</w:t>
      </w:r>
      <w:r>
        <w:rPr>
          <w:rFonts w:ascii="新細明體" w:hAnsi="新細明體"/>
          <w:sz w:val="24"/>
          <w:szCs w:val="24"/>
        </w:rPr>
        <w:t>5%</w:t>
      </w:r>
      <w:r>
        <w:rPr>
          <w:rFonts w:hint="eastAsia" w:ascii="新細明體" w:hAnsi="新細明體"/>
          <w:sz w:val="24"/>
          <w:szCs w:val="24"/>
        </w:rPr>
        <w:t>。在歐洲崛起後，美國、印度、巴西、墨西哥、菲律賓等民主國家的現任或即將上任的領導人都是民粹主義者。民粹主義變得越來越主流，不斷擴散的民粹浪潮逐漸蔓延成無法忽視的現象。</w:t>
      </w:r>
      <w:sdt>
        <w:sdtPr>
          <w:rPr>
            <w:rFonts w:hint="eastAsia" w:ascii="新細明體" w:hAnsi="新細明體"/>
            <w:sz w:val="24"/>
            <w:szCs w:val="24"/>
          </w:rPr>
          <w:id w:val="-2073113554"/>
        </w:sdtPr>
        <w:sdtEndPr>
          <w:rPr>
            <w:rFonts w:hint="eastAsia" w:ascii="新細明體" w:hAnsi="新細明體"/>
            <w:sz w:val="24"/>
            <w:szCs w:val="24"/>
          </w:rPr>
        </w:sdtEndPr>
        <w:sdtContent>
          <w:r>
            <w:rPr>
              <w:rFonts w:ascii="新細明體" w:hAnsi="新細明體"/>
              <w:sz w:val="24"/>
              <w:szCs w:val="24"/>
            </w:rPr>
            <w:fldChar w:fldCharType="begin"/>
          </w:r>
          <w:r>
            <w:rPr>
              <w:rFonts w:ascii="新細明體" w:hAnsi="新細明體"/>
              <w:sz w:val="24"/>
              <w:szCs w:val="24"/>
            </w:rPr>
            <w:instrText xml:space="preserve">CITATION 蔡娪嫣18 \l 15369 </w:instrText>
          </w:r>
          <w:r>
            <w:rPr>
              <w:rFonts w:ascii="新細明體" w:hAnsi="新細明體"/>
              <w:sz w:val="24"/>
              <w:szCs w:val="24"/>
            </w:rPr>
            <w:fldChar w:fldCharType="separate"/>
          </w:r>
          <w:r>
            <w:rPr>
              <w:rFonts w:ascii="新細明體" w:hAnsi="新細明體"/>
              <w:sz w:val="24"/>
              <w:szCs w:val="24"/>
            </w:rPr>
            <w:t xml:space="preserve"> (蔡娪嫣, 2018)</w:t>
          </w:r>
          <w:r>
            <w:rPr>
              <w:rFonts w:ascii="新細明體" w:hAnsi="新細明體"/>
              <w:sz w:val="24"/>
              <w:szCs w:val="24"/>
            </w:rPr>
            <w:fldChar w:fldCharType="end"/>
          </w:r>
        </w:sdtContent>
      </w:sdt>
      <w:r>
        <w:rPr>
          <w:rFonts w:ascii="新細明體" w:hAnsi="新細明體"/>
          <w:sz w:val="24"/>
          <w:szCs w:val="24"/>
        </w:rPr>
        <w:t xml:space="preserve"> </w:t>
      </w:r>
      <w:r>
        <w:rPr>
          <w:rFonts w:hint="eastAsia" w:ascii="新細明體" w:hAnsi="新細明體"/>
          <w:sz w:val="24"/>
          <w:szCs w:val="24"/>
        </w:rPr>
        <w:t>科技和生化科技（</w:t>
      </w:r>
      <w:r>
        <w:rPr>
          <w:rFonts w:ascii="新細明體" w:hAnsi="新細明體"/>
          <w:sz w:val="24"/>
          <w:szCs w:val="24"/>
        </w:rPr>
        <w:t>Bio-Technology</w:t>
      </w:r>
      <w:r>
        <w:rPr>
          <w:rFonts w:hint="eastAsia" w:ascii="新細明體" w:hAnsi="新細明體"/>
          <w:sz w:val="24"/>
          <w:szCs w:val="24"/>
        </w:rPr>
        <w:t>）的進步、經濟全球化（</w:t>
      </w:r>
      <w:r>
        <w:rPr>
          <w:rFonts w:ascii="新細明體" w:hAnsi="新細明體"/>
          <w:sz w:val="24"/>
          <w:szCs w:val="24"/>
        </w:rPr>
        <w:t>Globalization</w:t>
      </w:r>
      <w:r>
        <w:rPr>
          <w:rFonts w:hint="eastAsia" w:ascii="新細明體" w:hAnsi="新細明體"/>
          <w:sz w:val="24"/>
          <w:szCs w:val="24"/>
        </w:rPr>
        <w:t>）使社會階級結構、勞動力改變，使失業人數增多，貧富懸殊，教育制度稍有缺失，對政府的不滿與反抗情緒漸漸增加，選民對政黨和忠誠度下降，加上歐洲政治右傾，領導人開始年青化，學生和9</w:t>
      </w:r>
      <w:r>
        <w:rPr>
          <w:rFonts w:ascii="新細明體" w:hAnsi="新細明體"/>
          <w:sz w:val="24"/>
          <w:szCs w:val="24"/>
        </w:rPr>
        <w:t>0</w:t>
      </w:r>
      <w:r>
        <w:rPr>
          <w:rFonts w:hint="eastAsia" w:ascii="新細明體" w:hAnsi="新細明體"/>
          <w:sz w:val="24"/>
          <w:szCs w:val="24"/>
        </w:rPr>
        <w:t>後民眾便以反抗情緒激發民粹主義運動宣泄出來，這是2</w:t>
      </w:r>
      <w:r>
        <w:rPr>
          <w:rFonts w:ascii="新細明體" w:hAnsi="新細明體"/>
          <w:sz w:val="24"/>
          <w:szCs w:val="24"/>
        </w:rPr>
        <w:t>1</w:t>
      </w:r>
      <w:r>
        <w:rPr>
          <w:rFonts w:hint="eastAsia" w:ascii="新細明體" w:hAnsi="新細明體"/>
          <w:sz w:val="24"/>
          <w:szCs w:val="24"/>
        </w:rPr>
        <w:t>世紀民粹主義持績興旺的原因。</w:t>
      </w:r>
      <w:sdt>
        <w:sdtPr>
          <w:rPr>
            <w:rFonts w:hint="eastAsia" w:ascii="新細明體" w:hAnsi="新細明體"/>
            <w:sz w:val="24"/>
            <w:szCs w:val="24"/>
          </w:rPr>
          <w:id w:val="-298221890"/>
        </w:sdtPr>
        <w:sdtEndPr>
          <w:rPr>
            <w:rFonts w:hint="eastAsia" w:ascii="新細明體" w:hAnsi="新細明體"/>
            <w:sz w:val="24"/>
            <w:szCs w:val="24"/>
          </w:rPr>
        </w:sdtEndPr>
        <w:sdtContent>
          <w:r>
            <w:rPr>
              <w:rFonts w:ascii="新細明體" w:hAnsi="新細明體"/>
              <w:sz w:val="24"/>
              <w:szCs w:val="24"/>
            </w:rPr>
            <w:fldChar w:fldCharType="begin"/>
          </w:r>
          <w:r>
            <w:rPr>
              <w:rFonts w:ascii="新細明體" w:hAnsi="新細明體"/>
              <w:sz w:val="24"/>
              <w:szCs w:val="24"/>
            </w:rPr>
            <w:instrText xml:space="preserve"> CITATION 張莉15 \l 15369 </w:instrText>
          </w:r>
          <w:r>
            <w:rPr>
              <w:rFonts w:ascii="新細明體" w:hAnsi="新細明體"/>
              <w:sz w:val="24"/>
              <w:szCs w:val="24"/>
            </w:rPr>
            <w:fldChar w:fldCharType="separate"/>
          </w:r>
          <w:r>
            <w:rPr>
              <w:rFonts w:ascii="新細明體" w:hAnsi="新細明體"/>
              <w:sz w:val="24"/>
              <w:szCs w:val="24"/>
            </w:rPr>
            <w:t xml:space="preserve"> (張莉, 2015)</w:t>
          </w:r>
          <w:r>
            <w:rPr>
              <w:rFonts w:ascii="新細明體" w:hAnsi="新細明體"/>
              <w:sz w:val="24"/>
              <w:szCs w:val="24"/>
            </w:rPr>
            <w:fldChar w:fldCharType="end"/>
          </w:r>
        </w:sdtContent>
      </w:sdt>
      <w:r>
        <w:rPr>
          <w:rFonts w:hint="eastAsia" w:ascii="新細明體" w:hAnsi="新細明體"/>
          <w:sz w:val="24"/>
          <w:szCs w:val="24"/>
        </w:rPr>
        <w:t>民粹狂潮席捲世界，作為亞洲金融中心的香港也不例外，就如比利時政治哲學家墨菲（Chantal Mouffe）打趣說：「今日有兩種鴉片，一種是鴉片，另一種就是人民。」</w:t>
      </w:r>
      <w:sdt>
        <w:sdtPr>
          <w:rPr>
            <w:rFonts w:hint="eastAsia" w:ascii="新細明體" w:hAnsi="新細明體"/>
            <w:sz w:val="24"/>
            <w:szCs w:val="24"/>
          </w:rPr>
          <w:id w:val="-695072724"/>
        </w:sdtPr>
        <w:sdtEndPr>
          <w:rPr>
            <w:rFonts w:hint="eastAsia" w:ascii="新細明體" w:hAnsi="新細明體"/>
            <w:sz w:val="24"/>
            <w:szCs w:val="24"/>
          </w:rPr>
        </w:sdtEndPr>
        <w:sdtContent>
          <w:r>
            <w:rPr>
              <w:rFonts w:ascii="新細明體" w:hAnsi="新細明體"/>
              <w:sz w:val="24"/>
              <w:szCs w:val="24"/>
            </w:rPr>
            <w:fldChar w:fldCharType="begin"/>
          </w:r>
          <w:r>
            <w:rPr>
              <w:rFonts w:ascii="新細明體" w:hAnsi="新細明體"/>
              <w:sz w:val="24"/>
              <w:szCs w:val="24"/>
            </w:rPr>
            <w:instrText xml:space="preserve">CITATION Cha18 \l 15369 </w:instrText>
          </w:r>
          <w:r>
            <w:rPr>
              <w:rFonts w:ascii="新細明體" w:hAnsi="新細明體"/>
              <w:sz w:val="24"/>
              <w:szCs w:val="24"/>
            </w:rPr>
            <w:fldChar w:fldCharType="separate"/>
          </w:r>
          <w:r>
            <w:rPr>
              <w:rFonts w:ascii="新細明體" w:hAnsi="新細明體"/>
              <w:sz w:val="24"/>
              <w:szCs w:val="24"/>
            </w:rPr>
            <w:t xml:space="preserve"> (Mouffe, 2018)</w:t>
          </w:r>
          <w:r>
            <w:rPr>
              <w:rFonts w:ascii="新細明體" w:hAnsi="新細明體"/>
              <w:sz w:val="24"/>
              <w:szCs w:val="24"/>
            </w:rPr>
            <w:fldChar w:fldCharType="end"/>
          </w:r>
        </w:sdtContent>
      </w:sdt>
      <w:r>
        <w:rPr>
          <w:rFonts w:ascii="新細明體" w:hAnsi="新細明體"/>
          <w:sz w:val="24"/>
          <w:szCs w:val="24"/>
        </w:rPr>
        <w:t xml:space="preserve"> </w:t>
      </w:r>
      <w:r>
        <w:rPr>
          <w:rFonts w:hint="eastAsia" w:ascii="新細明體" w:hAnsi="新細明體"/>
          <w:sz w:val="24"/>
          <w:szCs w:val="24"/>
        </w:rPr>
        <w:t>要挑戰今日橫行世界的「寡頭」政治疆界，就要以民粹方式爭取，過程必然煽情，民粹群眾以經濟、教育、醫護、政治力量向特區政府證明他們是「有投票權，是存在的」的公民。</w:t>
      </w:r>
    </w:p>
    <w:p w14:paraId="4CADEF16">
      <w:pPr>
        <w:pStyle w:val="3"/>
        <w:rPr>
          <w:rFonts w:ascii="新細明體" w:hAnsi="新細明體" w:eastAsia="新細明體"/>
          <w:sz w:val="24"/>
          <w:szCs w:val="24"/>
        </w:rPr>
      </w:pPr>
      <w:bookmarkStart w:id="49" w:name="_Toc27054993"/>
      <w:bookmarkStart w:id="50" w:name="_Hlk27037641"/>
      <w:r>
        <w:rPr>
          <w:rFonts w:hint="eastAsia" w:ascii="新細明體" w:hAnsi="新細明體" w:eastAsia="新細明體"/>
          <w:sz w:val="24"/>
          <w:szCs w:val="24"/>
        </w:rPr>
        <w:t>公理標準的顛倒</w:t>
      </w:r>
      <w:bookmarkEnd w:id="49"/>
    </w:p>
    <w:bookmarkEnd w:id="50"/>
    <w:p w14:paraId="426C9EC0">
      <w:pPr>
        <w:spacing w:line="240" w:lineRule="auto"/>
        <w:jc w:val="both"/>
        <w:rPr>
          <w:rFonts w:ascii="新細明體" w:hAnsi="新細明體"/>
          <w:sz w:val="24"/>
          <w:szCs w:val="24"/>
        </w:rPr>
      </w:pPr>
      <w:r>
        <w:rPr>
          <w:rFonts w:hint="eastAsia" w:ascii="新細明體" w:hAnsi="新細明體"/>
          <w:sz w:val="24"/>
          <w:szCs w:val="24"/>
        </w:rPr>
        <w:t>年青人，心情納悶，對社會的不滿，好容易便發洩在破窗行為上，社交媒體的發達，資訊瞬間轉移，真假難分，根本無時間</w:t>
      </w:r>
      <w:bookmarkStart w:id="51" w:name="_Hlk23350370"/>
      <w:r>
        <w:rPr>
          <w:rFonts w:hint="eastAsia" w:ascii="新細明體" w:hAnsi="新細明體"/>
          <w:sz w:val="24"/>
          <w:szCs w:val="24"/>
        </w:rPr>
        <w:t>查真偽</w:t>
      </w:r>
      <w:bookmarkEnd w:id="51"/>
      <w:r>
        <w:rPr>
          <w:rFonts w:hint="eastAsia" w:ascii="新細明體" w:hAnsi="新細明體"/>
          <w:sz w:val="24"/>
          <w:szCs w:val="24"/>
        </w:rPr>
        <w:t>（f</w:t>
      </w:r>
      <w:r>
        <w:rPr>
          <w:rFonts w:ascii="新細明體" w:hAnsi="新細明體"/>
          <w:sz w:val="24"/>
          <w:szCs w:val="24"/>
        </w:rPr>
        <w:t>act check</w:t>
      </w:r>
      <w:r>
        <w:rPr>
          <w:rFonts w:hint="eastAsia" w:ascii="新細明體" w:hAnsi="新細明體"/>
          <w:sz w:val="24"/>
          <w:szCs w:val="24"/>
        </w:rPr>
        <w:t>），衹要有號召力的有心人發號施令，破窗效應馬上遍地開花，壞孩子無大台（領袖）、數目繁多、渴望受社會重視、為了追求頭上的光環，包裝惡行歪理、帶上面具，扮無知、扮英雄，妄顧後果，行為被有心人利用，加上政治媒體的推波助瀾，特區政府的官僚作風、低效率的警力，又怎能應付得來呢？奉公守法的良好市民不受保護，就如聖經哈巴谷書說：「</w:t>
      </w:r>
      <w:r>
        <w:rPr>
          <w:rFonts w:hint="eastAsia" w:ascii="新細明體" w:hAnsi="新細明體"/>
          <w:i/>
          <w:iCs/>
          <w:sz w:val="24"/>
          <w:szCs w:val="24"/>
        </w:rPr>
        <w:t>毀滅和強暴在我面前，又起了爭端和相鬥的事。因此律法放鬆，公理也不顯明；惡人圍困義人，所以公理顯然顛倒。</w:t>
      </w:r>
      <w:r>
        <w:rPr>
          <w:rFonts w:hint="eastAsia" w:ascii="新細明體" w:hAnsi="新細明體"/>
          <w:sz w:val="24"/>
          <w:szCs w:val="24"/>
        </w:rPr>
        <w:t>」沉默的大多數要服從無知的小數，鋪天蓋地霸佔資訊網路系統、製造假新聞，誤導群眾，顛倒是非，以言、以幻想入罪於無辜者、不同意見者，行私刑（私了），任意妄為(例如攬炒，和你銷、和你行.</w:t>
      </w:r>
      <w:r>
        <w:rPr>
          <w:rFonts w:ascii="新細明體" w:hAnsi="新細明體"/>
          <w:sz w:val="24"/>
          <w:szCs w:val="24"/>
        </w:rPr>
        <w:t>..</w:t>
      </w:r>
      <w:r>
        <w:rPr>
          <w:rFonts w:hint="eastAsia" w:ascii="新細明體" w:hAnsi="新細明體"/>
          <w:sz w:val="24"/>
          <w:szCs w:val="24"/>
        </w:rPr>
        <w:t>等)，假冒為善。</w:t>
      </w:r>
    </w:p>
    <w:p w14:paraId="29F5212C">
      <w:pPr>
        <w:spacing w:line="240" w:lineRule="auto"/>
        <w:rPr>
          <w:rFonts w:ascii="新細明體" w:hAnsi="新細明體" w:cs="Arial Unicode MS"/>
          <w:sz w:val="24"/>
          <w:szCs w:val="24"/>
        </w:rPr>
      </w:pPr>
      <w:r>
        <w:rPr>
          <w:rFonts w:hint="eastAsia" w:ascii="新細明體" w:hAnsi="新細明體" w:cs="Arial Unicode MS"/>
          <w:sz w:val="24"/>
          <w:szCs w:val="24"/>
        </w:rPr>
        <w:t>根</w:t>
      </w:r>
      <w:r>
        <w:rPr>
          <w:rFonts w:ascii="新細明體" w:hAnsi="新細明體" w:cs="Arial Unicode MS"/>
          <w:sz w:val="24"/>
          <w:szCs w:val="24"/>
        </w:rPr>
        <w:t>據相關的文獻和研究，香港</w:t>
      </w:r>
      <w:r>
        <w:rPr>
          <w:rFonts w:hint="eastAsia" w:ascii="新細明體" w:hAnsi="新細明體" w:cs="Arial Unicode MS"/>
          <w:sz w:val="24"/>
          <w:szCs w:val="24"/>
        </w:rPr>
        <w:t>2</w:t>
      </w:r>
      <w:r>
        <w:rPr>
          <w:rFonts w:ascii="新細明體" w:hAnsi="新細明體" w:cs="Arial Unicode MS"/>
          <w:sz w:val="24"/>
          <w:szCs w:val="24"/>
        </w:rPr>
        <w:t>1</w:t>
      </w:r>
      <w:r>
        <w:rPr>
          <w:rFonts w:hint="eastAsia" w:ascii="新細明體" w:hAnsi="新細明體" w:cs="Arial Unicode MS"/>
          <w:sz w:val="24"/>
          <w:szCs w:val="24"/>
        </w:rPr>
        <w:t>世紀的社會運勳</w:t>
      </w:r>
      <w:r>
        <w:rPr>
          <w:rFonts w:ascii="新細明體" w:hAnsi="新細明體" w:cs="Arial Unicode MS"/>
          <w:sz w:val="24"/>
          <w:szCs w:val="24"/>
        </w:rPr>
        <w:t>會基於以下的考慮因素，他們是</w:t>
      </w:r>
      <w:r>
        <w:rPr>
          <w:rFonts w:hint="eastAsia" w:ascii="新細明體" w:hAnsi="新細明體" w:cs="Arial Unicode MS"/>
          <w:sz w:val="24"/>
          <w:szCs w:val="24"/>
        </w:rPr>
        <w:t>：</w:t>
      </w:r>
    </w:p>
    <w:p w14:paraId="5A9A47DF">
      <w:pPr>
        <w:spacing w:line="240" w:lineRule="auto"/>
        <w:jc w:val="center"/>
        <w:rPr>
          <w:rFonts w:ascii="新細明體" w:hAnsi="新細明體" w:cs="Arial"/>
          <w:sz w:val="24"/>
          <w:szCs w:val="24"/>
        </w:rPr>
      </w:pPr>
      <w:r>
        <w:rPr>
          <w:rFonts w:ascii="新細明體" w:hAnsi="新細明體" w:cs="Arial"/>
          <w:sz w:val="24"/>
          <w:szCs w:val="24"/>
        </w:rPr>
        <w:drawing>
          <wp:inline distT="0" distB="0" distL="0" distR="0">
            <wp:extent cx="6096635" cy="3219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096635" cy="3219450"/>
                    </a:xfrm>
                    <a:prstGeom prst="rect">
                      <a:avLst/>
                    </a:prstGeom>
                    <a:noFill/>
                  </pic:spPr>
                </pic:pic>
              </a:graphicData>
            </a:graphic>
          </wp:inline>
        </w:drawing>
      </w:r>
      <w:r>
        <w:rPr>
          <w:rFonts w:ascii="新細明體" w:hAnsi="新細明體" w:cs="Arial"/>
          <w:sz w:val="24"/>
          <w:szCs w:val="24"/>
        </w:rPr>
        <w:br w:type="page"/>
      </w:r>
    </w:p>
    <w:p w14:paraId="0A6E243D">
      <w:pPr>
        <w:pStyle w:val="3"/>
        <w:shd w:val="clear" w:color="auto" w:fill="FFD965" w:themeFill="accent4" w:themeFillTint="99"/>
        <w:jc w:val="center"/>
        <w:rPr>
          <w:rFonts w:ascii="新細明體" w:hAnsi="新細明體" w:eastAsia="新細明體"/>
          <w:sz w:val="24"/>
          <w:szCs w:val="24"/>
        </w:rPr>
      </w:pPr>
      <w:bookmarkStart w:id="52" w:name="_Hlk26541110"/>
      <w:bookmarkStart w:id="53" w:name="_Toc27054994"/>
      <w:r>
        <w:rPr>
          <w:rFonts w:hint="eastAsia" w:ascii="新細明體" w:hAnsi="新細明體" w:eastAsia="新細明體"/>
          <w:sz w:val="24"/>
          <w:szCs w:val="24"/>
        </w:rPr>
        <w:t>香港社會運動</w:t>
      </w:r>
      <w:bookmarkEnd w:id="52"/>
      <w:r>
        <w:rPr>
          <w:rFonts w:hint="eastAsia" w:ascii="新細明體" w:hAnsi="新細明體" w:eastAsia="新細明體"/>
          <w:sz w:val="24"/>
          <w:szCs w:val="24"/>
        </w:rPr>
        <w:t>的修補</w:t>
      </w:r>
      <w:bookmarkEnd w:id="53"/>
    </w:p>
    <w:p w14:paraId="3D149E7E">
      <w:pPr>
        <w:pStyle w:val="4"/>
        <w:rPr>
          <w:rFonts w:ascii="新細明體" w:hAnsi="新細明體" w:eastAsia="新細明體"/>
          <w:sz w:val="24"/>
        </w:rPr>
      </w:pPr>
      <w:bookmarkStart w:id="54" w:name="_Toc27054995"/>
      <w:r>
        <w:rPr>
          <w:rFonts w:hint="eastAsia" w:ascii="新細明體" w:hAnsi="新細明體" w:eastAsia="新細明體"/>
          <w:sz w:val="24"/>
        </w:rPr>
        <w:t>製造就業機會</w:t>
      </w:r>
      <w:bookmarkEnd w:id="54"/>
    </w:p>
    <w:p w14:paraId="187E016B">
      <w:pPr>
        <w:spacing w:line="240" w:lineRule="auto"/>
        <w:jc w:val="both"/>
        <w:rPr>
          <w:rFonts w:ascii="新細明體" w:hAnsi="新細明體"/>
          <w:sz w:val="24"/>
          <w:szCs w:val="24"/>
        </w:rPr>
      </w:pPr>
      <w:r>
        <w:rPr>
          <w:rFonts w:hint="eastAsia" w:ascii="新細明體" w:hAnsi="新細明體"/>
          <w:sz w:val="24"/>
          <w:szCs w:val="24"/>
        </w:rPr>
        <w:t>在科技世界裡，保持就業機會給年青人至為重要，政治上可能誰人能製造就業機會，誰便可贏得民心和選民的選票。領導人為了達到製造就業機會的目的，反全球化的保護主義抬頭，如一向推舉自由貿易的美國，在特朗普領導下，率先以「美國為先」的口號，與中國發動貿易戰，保護本土利益，順便也部署連任的契機。</w:t>
      </w:r>
      <w:bookmarkStart w:id="55" w:name="_Hlk26793898"/>
      <w:r>
        <w:rPr>
          <w:rFonts w:hint="eastAsia" w:ascii="新細明體" w:hAnsi="新細明體"/>
          <w:sz w:val="24"/>
          <w:szCs w:val="24"/>
        </w:rPr>
        <w:t>香港作為一個國際金融中心，金融市場應考慮將建立多間交易所和相關的中央結算所，除了現有的證券交易所外，應研究建立債券交易所、國際股票交易所、鑽石交易所，期貨、衍生產品交易所等，各從其類，分擔風險，專業管理，培育人才，同時間也可製造金融業就業機會。</w:t>
      </w:r>
      <w:bookmarkEnd w:id="55"/>
    </w:p>
    <w:p w14:paraId="69B2D926">
      <w:pPr>
        <w:pStyle w:val="4"/>
        <w:rPr>
          <w:rFonts w:ascii="新細明體" w:hAnsi="新細明體" w:eastAsia="新細明體"/>
          <w:sz w:val="24"/>
        </w:rPr>
      </w:pPr>
      <w:bookmarkStart w:id="56" w:name="_Toc27054996"/>
      <w:r>
        <w:rPr>
          <w:rFonts w:hint="eastAsia" w:ascii="新細明體" w:hAnsi="新細明體" w:eastAsia="新細明體"/>
          <w:sz w:val="24"/>
        </w:rPr>
        <w:t>監管和提高社交媒體素質</w:t>
      </w:r>
      <w:bookmarkEnd w:id="56"/>
    </w:p>
    <w:p w14:paraId="7087C277">
      <w:pPr>
        <w:spacing w:line="240" w:lineRule="auto"/>
        <w:jc w:val="both"/>
        <w:rPr>
          <w:rFonts w:ascii="新細明體" w:hAnsi="新細明體"/>
          <w:sz w:val="24"/>
          <w:szCs w:val="24"/>
        </w:rPr>
      </w:pPr>
      <w:r>
        <w:rPr>
          <w:rFonts w:hint="eastAsia" w:ascii="新細明體" w:hAnsi="新細明體"/>
          <w:sz w:val="24"/>
          <w:szCs w:val="24"/>
        </w:rPr>
        <w:t>特區政府應部署計劃相關法律，要求</w:t>
      </w:r>
      <w:bookmarkStart w:id="57" w:name="_Hlk26782163"/>
      <w:r>
        <w:rPr>
          <w:rFonts w:hint="eastAsia" w:ascii="新細明體" w:hAnsi="新細明體"/>
          <w:sz w:val="24"/>
          <w:szCs w:val="24"/>
        </w:rPr>
        <w:t>社交媒體</w:t>
      </w:r>
      <w:bookmarkEnd w:id="57"/>
      <w:r>
        <w:rPr>
          <w:rFonts w:hint="eastAsia" w:ascii="新細明體" w:hAnsi="新細明體"/>
          <w:sz w:val="24"/>
          <w:szCs w:val="24"/>
        </w:rPr>
        <w:t>履行「審慎責任」（duty of care），以禁止網台發布仇恨言論、虛假資訊和欺詐客戶，另一方面是怎樣保持言論自由，而可保護私隱。臉書副總裁艾倫（Richard Allan）表示：「</w:t>
      </w:r>
      <w:r>
        <w:rPr>
          <w:rFonts w:hint="eastAsia" w:ascii="新細明體" w:hAnsi="新細明體"/>
          <w:i/>
          <w:iCs/>
          <w:sz w:val="24"/>
          <w:szCs w:val="24"/>
        </w:rPr>
        <w:t>平台不僅要有效地做好這方面的工作，同時也要非常明確地向監管部門負責。</w:t>
      </w:r>
      <w:r>
        <w:rPr>
          <w:rFonts w:hint="eastAsia" w:ascii="新細明體" w:hAnsi="新細明體"/>
          <w:sz w:val="24"/>
          <w:szCs w:val="24"/>
        </w:rPr>
        <w:t>」歐洲多國已開始採取措施監管社交媒體的行為。</w:t>
      </w:r>
      <w:r>
        <w:rPr>
          <w:rFonts w:hint="eastAsia" w:ascii="新細明體" w:hAnsi="新細明體"/>
          <w:sz w:val="24"/>
          <w:szCs w:val="24"/>
          <w:lang w:eastAsia="zh-TW"/>
        </w:rPr>
        <w:t>（</w:t>
      </w:r>
      <w:r>
        <w:rPr>
          <w:rFonts w:hint="eastAsia" w:ascii="新細明體" w:hAnsi="新細明體"/>
          <w:sz w:val="24"/>
          <w:szCs w:val="24"/>
        </w:rPr>
        <w:t>信報, 2019）網媒記者的入職、學歷和道德操手要有標準要求，21世紀的價值觀和領導方向，會因應時勢而作出改變。媒體網台可掌握民眾的心態、渴求及信念，然後對症下藥，利用「群體極化效應」把信念或其認為的真理恰當地重新「包裝」，可誤導民眾和使選民接受。（廉政公署(ICAC), 2011）（孟書強, 2018）網上世界加速了世界公民的身份認同，人人覺得自己比別人優勝，自視過高，執迷不悟，往往判斷錯誤，鑄成大錯。</w:t>
      </w:r>
    </w:p>
    <w:p w14:paraId="16BE576E">
      <w:pPr>
        <w:spacing w:line="240" w:lineRule="auto"/>
        <w:jc w:val="both"/>
        <w:rPr>
          <w:rFonts w:ascii="新細明體" w:hAnsi="新細明體"/>
          <w:sz w:val="24"/>
          <w:szCs w:val="24"/>
        </w:rPr>
      </w:pPr>
      <w:r>
        <w:rPr>
          <w:rFonts w:hint="eastAsia" w:ascii="新細明體" w:hAnsi="新細明體"/>
          <w:sz w:val="24"/>
          <w:szCs w:val="24"/>
        </w:rPr>
        <w:t>為了迎接社交媒體的新世代，特區政府是時候成立類似證監會的機構</w:t>
      </w:r>
      <w:bookmarkStart w:id="58" w:name="_Hlk26793316"/>
      <w:r>
        <w:rPr>
          <w:rFonts w:hint="eastAsia" w:ascii="新細明體" w:hAnsi="新細明體"/>
          <w:sz w:val="24"/>
          <w:szCs w:val="24"/>
        </w:rPr>
        <w:t>幫助社交媒體業健康發展</w:t>
      </w:r>
      <w:bookmarkEnd w:id="58"/>
      <w:r>
        <w:rPr>
          <w:rFonts w:hint="eastAsia" w:ascii="新細明體" w:hAnsi="新細明體"/>
          <w:sz w:val="24"/>
          <w:szCs w:val="24"/>
        </w:rPr>
        <w:t>，主要職責包括維持和促進同業的素質、知識及操守。工作範疇應包括：確保市場參與者秉持正當操守，並遏止做假及失當行為，</w:t>
      </w:r>
      <w:bookmarkStart w:id="59" w:name="_Hlk26793229"/>
      <w:r>
        <w:rPr>
          <w:rFonts w:hint="eastAsia" w:ascii="新細明體" w:hAnsi="新細明體"/>
          <w:sz w:val="24"/>
          <w:szCs w:val="24"/>
        </w:rPr>
        <w:t>制定及執行市場法規</w:t>
      </w:r>
      <w:bookmarkEnd w:id="59"/>
      <w:r>
        <w:rPr>
          <w:rFonts w:hint="eastAsia" w:ascii="新細明體" w:hAnsi="新細明體"/>
          <w:sz w:val="24"/>
          <w:szCs w:val="24"/>
        </w:rPr>
        <w:t>，調查違規個案，發牌，同業和設定社交媒體記者本身的權利和責任。</w:t>
      </w:r>
    </w:p>
    <w:p w14:paraId="2AE34F6F">
      <w:pPr>
        <w:pStyle w:val="4"/>
        <w:rPr>
          <w:rFonts w:ascii="新細明體" w:hAnsi="新細明體" w:eastAsia="新細明體"/>
          <w:sz w:val="24"/>
        </w:rPr>
      </w:pPr>
      <w:bookmarkStart w:id="60" w:name="_Toc27054997"/>
      <w:r>
        <w:rPr>
          <w:rFonts w:hint="eastAsia" w:ascii="新細明體" w:hAnsi="新細明體" w:eastAsia="新細明體"/>
          <w:sz w:val="24"/>
        </w:rPr>
        <w:t>重視公民，國民教育及跨</w:t>
      </w:r>
      <w:bookmarkStart w:id="61" w:name="_Hlk26544659"/>
      <w:r>
        <w:rPr>
          <w:rFonts w:hint="eastAsia" w:ascii="新細明體" w:hAnsi="新細明體" w:eastAsia="新細明體"/>
          <w:sz w:val="24"/>
        </w:rPr>
        <w:t>行業的培訓</w:t>
      </w:r>
      <w:bookmarkEnd w:id="60"/>
      <w:bookmarkEnd w:id="61"/>
    </w:p>
    <w:p w14:paraId="594BF11F">
      <w:pPr>
        <w:spacing w:line="240" w:lineRule="auto"/>
        <w:jc w:val="both"/>
        <w:rPr>
          <w:rFonts w:ascii="新細明體" w:hAnsi="新細明體"/>
          <w:sz w:val="24"/>
          <w:szCs w:val="24"/>
        </w:rPr>
      </w:pPr>
      <w:r>
        <w:rPr>
          <w:rFonts w:hint="eastAsia" w:ascii="新細明體" w:hAnsi="新細明體"/>
          <w:sz w:val="24"/>
          <w:szCs w:val="24"/>
        </w:rPr>
        <w:t>加強資源、力度教育國民，由其是年青人，</w:t>
      </w:r>
      <w:bookmarkStart w:id="62" w:name="_Hlk23430699"/>
      <w:r>
        <w:rPr>
          <w:rFonts w:hint="eastAsia" w:ascii="新細明體" w:hAnsi="新細明體"/>
          <w:sz w:val="24"/>
          <w:szCs w:val="24"/>
        </w:rPr>
        <w:t>重視德育、公民及國民教育</w:t>
      </w:r>
      <w:bookmarkEnd w:id="62"/>
      <w:r>
        <w:rPr>
          <w:rFonts w:hint="eastAsia" w:ascii="新細明體" w:hAnsi="新細明體"/>
          <w:sz w:val="24"/>
          <w:szCs w:val="24"/>
        </w:rPr>
        <w:t>，培育學生正面的價值觀和態度；學校可培育學生七種首要的價值觀和態度，即：</w:t>
      </w:r>
      <w:r>
        <w:rPr>
          <w:rFonts w:hint="eastAsia" w:ascii="新細明體" w:hAnsi="新細明體"/>
          <w:i/>
          <w:iCs/>
          <w:sz w:val="24"/>
          <w:szCs w:val="24"/>
        </w:rPr>
        <w:t>「堅毅」、「尊重他人」、「責任感」、「國民身份認同」、「承擔精神」、「誠信」和「關愛</w:t>
      </w:r>
      <w:r>
        <w:rPr>
          <w:rFonts w:hint="eastAsia" w:ascii="新細明體" w:hAnsi="新細明體"/>
          <w:sz w:val="24"/>
          <w:szCs w:val="24"/>
        </w:rPr>
        <w:t>」，作為推動德育及公民教育的方向。</w:t>
      </w:r>
      <w:sdt>
        <w:sdtPr>
          <w:rPr>
            <w:rFonts w:hint="eastAsia" w:ascii="新細明體" w:hAnsi="新細明體"/>
            <w:sz w:val="24"/>
            <w:szCs w:val="24"/>
          </w:rPr>
          <w:id w:val="1188569141"/>
        </w:sdtPr>
        <w:sdtEndPr>
          <w:rPr>
            <w:rFonts w:hint="eastAsia" w:ascii="新細明體" w:hAnsi="新細明體"/>
            <w:sz w:val="24"/>
            <w:szCs w:val="24"/>
          </w:rPr>
        </w:sdtEndPr>
        <w:sdtContent>
          <w:r>
            <w:rPr>
              <w:rFonts w:ascii="新細明體" w:hAnsi="新細明體"/>
              <w:sz w:val="24"/>
              <w:szCs w:val="24"/>
            </w:rPr>
            <w:fldChar w:fldCharType="begin"/>
          </w:r>
          <w:r>
            <w:rPr>
              <w:rFonts w:ascii="新細明體" w:hAnsi="新細明體"/>
              <w:sz w:val="24"/>
              <w:szCs w:val="24"/>
            </w:rPr>
            <w:instrText xml:space="preserve">CITATION The19 \l 15369 </w:instrText>
          </w:r>
          <w:r>
            <w:rPr>
              <w:rFonts w:ascii="新細明體" w:hAnsi="新細明體"/>
              <w:sz w:val="24"/>
              <w:szCs w:val="24"/>
            </w:rPr>
            <w:fldChar w:fldCharType="separate"/>
          </w:r>
          <w:r>
            <w:rPr>
              <w:rFonts w:ascii="新細明體" w:hAnsi="新細明體"/>
              <w:sz w:val="24"/>
              <w:szCs w:val="24"/>
            </w:rPr>
            <w:t xml:space="preserve"> (HKSAR, 2019)</w:t>
          </w:r>
          <w:r>
            <w:rPr>
              <w:rFonts w:ascii="新細明體" w:hAnsi="新細明體"/>
              <w:sz w:val="24"/>
              <w:szCs w:val="24"/>
            </w:rPr>
            <w:fldChar w:fldCharType="end"/>
          </w:r>
        </w:sdtContent>
      </w:sdt>
      <w:r>
        <w:rPr>
          <w:rFonts w:ascii="新細明體" w:hAnsi="新細明體"/>
          <w:sz w:val="24"/>
          <w:szCs w:val="24"/>
        </w:rPr>
        <w:t xml:space="preserve">  </w:t>
      </w:r>
      <w:r>
        <w:rPr>
          <w:rFonts w:hint="eastAsia" w:ascii="新細明體" w:hAnsi="新細明體"/>
          <w:sz w:val="24"/>
          <w:szCs w:val="24"/>
        </w:rPr>
        <w:t>就如香港終審法院首席法官馬道立法官說：「</w:t>
      </w:r>
      <w:r>
        <w:rPr>
          <w:rFonts w:hint="eastAsia" w:ascii="新細明體" w:hAnsi="新細明體"/>
          <w:i/>
          <w:iCs/>
          <w:sz w:val="24"/>
          <w:szCs w:val="24"/>
        </w:rPr>
        <w:t>今日的學生要成為明日的領袖，須有社群意識（Sense of Community）及人文素養（Humanism）。三大要素：包容（Tolerance）、尊重（Respect）及妥協（Compromise），都存在社群意識背後。應成為生活及工作的重要方面，學生應從教育中了解社群意識。</w:t>
      </w:r>
      <w:r>
        <w:rPr>
          <w:rFonts w:hint="eastAsia" w:ascii="新細明體" w:hAnsi="新細明體"/>
          <w:sz w:val="24"/>
          <w:szCs w:val="24"/>
        </w:rPr>
        <w:t>」</w:t>
      </w:r>
      <w:sdt>
        <w:sdtPr>
          <w:rPr>
            <w:rFonts w:hint="eastAsia" w:ascii="新細明體" w:hAnsi="新細明體"/>
            <w:sz w:val="24"/>
            <w:szCs w:val="24"/>
          </w:rPr>
          <w:id w:val="-1267525820"/>
        </w:sdtPr>
        <w:sdtEndPr>
          <w:rPr>
            <w:rFonts w:hint="eastAsia" w:ascii="新細明體" w:hAnsi="新細明體"/>
            <w:sz w:val="24"/>
            <w:szCs w:val="24"/>
          </w:rPr>
        </w:sdtEndPr>
        <w:sdtContent>
          <w:r>
            <w:rPr>
              <w:rFonts w:ascii="新細明體" w:hAnsi="新細明體"/>
              <w:sz w:val="24"/>
              <w:szCs w:val="24"/>
            </w:rPr>
            <w:fldChar w:fldCharType="begin"/>
          </w:r>
          <w:r>
            <w:rPr>
              <w:rFonts w:ascii="新細明體" w:hAnsi="新細明體"/>
              <w:sz w:val="24"/>
              <w:szCs w:val="24"/>
            </w:rPr>
            <w:instrText xml:space="preserve">CITATION 三大要19 \l 15369 </w:instrText>
          </w:r>
          <w:r>
            <w:rPr>
              <w:rFonts w:ascii="新細明體" w:hAnsi="新細明體"/>
              <w:sz w:val="24"/>
              <w:szCs w:val="24"/>
            </w:rPr>
            <w:fldChar w:fldCharType="separate"/>
          </w:r>
          <w:r>
            <w:rPr>
              <w:rFonts w:ascii="新細明體" w:hAnsi="新細明體"/>
              <w:sz w:val="24"/>
              <w:szCs w:val="24"/>
            </w:rPr>
            <w:t xml:space="preserve"> (馬道立, 14 Sept 2019)</w:t>
          </w:r>
          <w:r>
            <w:rPr>
              <w:rFonts w:ascii="新細明體" w:hAnsi="新細明體"/>
              <w:sz w:val="24"/>
              <w:szCs w:val="24"/>
            </w:rPr>
            <w:fldChar w:fldCharType="end"/>
          </w:r>
        </w:sdtContent>
      </w:sdt>
    </w:p>
    <w:p w14:paraId="26A82B71">
      <w:pPr>
        <w:spacing w:line="240" w:lineRule="auto"/>
        <w:jc w:val="both"/>
        <w:rPr>
          <w:rFonts w:ascii="新細明體" w:hAnsi="新細明體"/>
          <w:b/>
          <w:bCs/>
          <w:color w:val="4472C4" w:themeColor="accent1"/>
          <w:sz w:val="24"/>
          <w14:textFill>
            <w14:solidFill>
              <w14:schemeClr w14:val="accent1"/>
            </w14:solidFill>
          </w14:textFill>
        </w:rPr>
      </w:pPr>
      <w:r>
        <w:rPr>
          <w:rFonts w:hint="eastAsia" w:ascii="新細明體" w:hAnsi="新細明體"/>
          <w:b/>
          <w:bCs/>
          <w:color w:val="4472C4" w:themeColor="accent1"/>
          <w:sz w:val="24"/>
          <w14:textFill>
            <w14:solidFill>
              <w14:schemeClr w14:val="accent1"/>
            </w14:solidFill>
          </w14:textFill>
        </w:rPr>
        <w:t>小心「路西法效應」(Lucifer Effect)</w:t>
      </w:r>
    </w:p>
    <w:p w14:paraId="31343201">
      <w:pPr>
        <w:spacing w:line="240" w:lineRule="auto"/>
        <w:jc w:val="both"/>
        <w:rPr>
          <w:rFonts w:ascii="新細明體" w:hAnsi="新細明體"/>
          <w:sz w:val="24"/>
          <w:szCs w:val="24"/>
        </w:rPr>
      </w:pPr>
      <w:r>
        <w:rPr>
          <w:rFonts w:hint="eastAsia" w:ascii="新細明體" w:hAnsi="新細明體"/>
        </w:rPr>
        <w:t>執法者要小心大災難由「破窗」開始，由於處境的影響力，經「路西法效應」將智者和好人，演變成愚者和惡魔，加上群體極化效應(Group Polarization) (Sundar, 2015)(附件 3) ，就如香港的和平示威，變質成多區暴動，示威人數由50萬演變成2百萬；投擲石頭變成投擲汽油彈；與警爭論變成襲警；1年1次的和平遊行變成1週多次的暴亂。每一次零的突破，如未能即時補救，小事往往變成大災難。也要留意執法者的權力不能過大，在長期工作壓力下，如無適當的休息和舒緩，部分執法者也會由好人變成壞人。</w:t>
      </w:r>
    </w:p>
    <w:p w14:paraId="114C26FA">
      <w:pPr>
        <w:pStyle w:val="2"/>
        <w:shd w:val="clear" w:color="auto" w:fill="FFD965" w:themeFill="accent4" w:themeFillTint="99"/>
        <w:spacing w:line="240" w:lineRule="auto"/>
        <w:jc w:val="center"/>
        <w:rPr>
          <w:rFonts w:ascii="新細明體" w:hAnsi="新細明體" w:eastAsia="新細明體"/>
          <w:sz w:val="24"/>
          <w:szCs w:val="24"/>
        </w:rPr>
      </w:pPr>
      <w:bookmarkStart w:id="63" w:name="_Toc27054998"/>
      <w:r>
        <w:rPr>
          <w:rFonts w:hint="eastAsia" w:ascii="新細明體" w:hAnsi="新細明體" w:eastAsia="新細明體"/>
          <w:sz w:val="24"/>
          <w:szCs w:val="24"/>
        </w:rPr>
        <w:t>總結</w:t>
      </w:r>
      <w:bookmarkEnd w:id="63"/>
    </w:p>
    <w:p w14:paraId="4C2F33E8">
      <w:pPr>
        <w:pStyle w:val="3"/>
        <w:rPr>
          <w:rFonts w:ascii="新細明體" w:hAnsi="新細明體" w:eastAsia="新細明體"/>
          <w:sz w:val="24"/>
          <w:szCs w:val="24"/>
        </w:rPr>
      </w:pPr>
      <w:bookmarkStart w:id="64" w:name="_Toc27054999"/>
      <w:r>
        <w:rPr>
          <w:rFonts w:hint="eastAsia" w:ascii="新細明體" w:hAnsi="新細明體" w:eastAsia="新細明體"/>
          <w:sz w:val="24"/>
          <w:szCs w:val="24"/>
        </w:rPr>
        <w:t>短期建議</w:t>
      </w:r>
      <w:bookmarkEnd w:id="64"/>
    </w:p>
    <w:p w14:paraId="7B1B6D29">
      <w:pPr>
        <w:pStyle w:val="4"/>
        <w:rPr>
          <w:rFonts w:ascii="新細明體" w:hAnsi="新細明體" w:eastAsia="新細明體"/>
          <w:color w:val="ED7D31" w:themeColor="accent2"/>
          <w:sz w:val="24"/>
          <w14:textFill>
            <w14:solidFill>
              <w14:schemeClr w14:val="accent2"/>
            </w14:solidFill>
          </w14:textFill>
        </w:rPr>
      </w:pPr>
      <w:bookmarkStart w:id="65" w:name="_Toc27055000"/>
      <w:bookmarkStart w:id="66" w:name="_Hlk26964239"/>
      <w:r>
        <w:rPr>
          <w:rFonts w:hint="eastAsia" w:ascii="新細明體" w:hAnsi="新細明體" w:eastAsia="新細明體"/>
          <w:color w:val="ED7D31" w:themeColor="accent2"/>
          <w:sz w:val="24"/>
          <w14:textFill>
            <w14:solidFill>
              <w14:schemeClr w14:val="accent2"/>
            </w14:solidFill>
          </w14:textFill>
        </w:rPr>
        <w:t>止暴制亂</w:t>
      </w:r>
      <w:bookmarkEnd w:id="65"/>
    </w:p>
    <w:bookmarkEnd w:id="66"/>
    <w:p w14:paraId="4398CF0C">
      <w:pPr>
        <w:spacing w:line="240" w:lineRule="auto"/>
        <w:jc w:val="both"/>
        <w:rPr>
          <w:rFonts w:ascii="新細明體" w:hAnsi="新細明體"/>
          <w:sz w:val="24"/>
          <w:szCs w:val="24"/>
        </w:rPr>
      </w:pPr>
      <w:r>
        <w:rPr>
          <w:rFonts w:hint="eastAsia" w:ascii="新細明體" w:hAnsi="新細明體"/>
          <w:sz w:val="24"/>
          <w:szCs w:val="24"/>
        </w:rPr>
        <w:t>「反送中」運動自「6</w:t>
      </w:r>
      <w:r>
        <w:rPr>
          <w:rFonts w:ascii="新細明體" w:hAnsi="新細明體"/>
          <w:sz w:val="24"/>
          <w:szCs w:val="24"/>
        </w:rPr>
        <w:t>9</w:t>
      </w:r>
      <w:r>
        <w:rPr>
          <w:rFonts w:hint="eastAsia" w:ascii="新細明體" w:hAnsi="新細明體"/>
          <w:sz w:val="24"/>
          <w:szCs w:val="24"/>
        </w:rPr>
        <w:t>大</w:t>
      </w:r>
      <w:r>
        <w:rPr>
          <w:rFonts w:hint="eastAsia" w:ascii="新細明體" w:hAnsi="新細明體"/>
        </w:rPr>
        <w:t>遊行</w:t>
      </w:r>
      <w:r>
        <w:rPr>
          <w:rFonts w:hint="eastAsia" w:ascii="新細明體" w:hAnsi="新細明體"/>
          <w:sz w:val="24"/>
          <w:szCs w:val="24"/>
        </w:rPr>
        <w:t>」破窗開始至今已超過6個月，期間每況愈下，特區政府錯過無數修補破窗的機會，特區政府空有權力，而公信力被言之鑿鑿的真假傳聞盡情破壞，所以應馬上監管和提高社交媒體素質，而「路西法效應」已經將一些學生改變成暴徒，所以管治者的「</w:t>
      </w:r>
      <w:bookmarkStart w:id="67" w:name="_Hlk26799044"/>
      <w:r>
        <w:rPr>
          <w:rFonts w:hint="eastAsia" w:ascii="新細明體" w:hAnsi="新細明體"/>
          <w:sz w:val="24"/>
          <w:szCs w:val="24"/>
        </w:rPr>
        <w:t>止暴制亂</w:t>
      </w:r>
      <w:bookmarkEnd w:id="67"/>
      <w:r>
        <w:rPr>
          <w:rFonts w:hint="eastAsia" w:ascii="新細明體" w:hAnsi="新細明體"/>
          <w:sz w:val="24"/>
          <w:szCs w:val="24"/>
        </w:rPr>
        <w:t>」決策不失是權宜之計。冤有頭，債有主，找出主事人，有法必依，加以懲罰制裁違規者，才可立竿見影，止暴制亂。</w:t>
      </w:r>
    </w:p>
    <w:p w14:paraId="1036FDF0">
      <w:pPr>
        <w:pStyle w:val="4"/>
        <w:rPr>
          <w:rFonts w:ascii="新細明體" w:hAnsi="新細明體" w:eastAsia="新細明體"/>
          <w:color w:val="ED7D31" w:themeColor="accent2"/>
          <w:sz w:val="24"/>
          <w14:textFill>
            <w14:solidFill>
              <w14:schemeClr w14:val="accent2"/>
            </w14:solidFill>
          </w14:textFill>
        </w:rPr>
      </w:pPr>
      <w:bookmarkStart w:id="68" w:name="_Toc27055001"/>
      <w:r>
        <w:rPr>
          <w:rFonts w:hint="eastAsia" w:ascii="新細明體" w:hAnsi="新細明體" w:eastAsia="新細明體"/>
          <w:color w:val="ED7D31" w:themeColor="accent2"/>
          <w:sz w:val="24"/>
          <w14:textFill>
            <w14:solidFill>
              <w14:schemeClr w14:val="accent2"/>
            </w14:solidFill>
          </w14:textFill>
        </w:rPr>
        <w:t>加強警力</w:t>
      </w:r>
      <w:bookmarkEnd w:id="68"/>
    </w:p>
    <w:p w14:paraId="569EAAF6">
      <w:pPr>
        <w:spacing w:line="240" w:lineRule="auto"/>
        <w:jc w:val="both"/>
        <w:rPr>
          <w:rFonts w:ascii="新細明體" w:hAnsi="新細明體"/>
          <w:sz w:val="24"/>
          <w:szCs w:val="24"/>
        </w:rPr>
      </w:pPr>
      <w:bookmarkStart w:id="69" w:name="_Hlk26799234"/>
      <w:r>
        <w:rPr>
          <w:rFonts w:hint="eastAsia" w:ascii="新細明體" w:hAnsi="新細明體"/>
          <w:sz w:val="24"/>
          <w:szCs w:val="24"/>
        </w:rPr>
        <w:t>警</w:t>
      </w:r>
      <w:bookmarkEnd w:id="69"/>
      <w:r>
        <w:rPr>
          <w:rFonts w:hint="eastAsia" w:ascii="新細明體" w:hAnsi="新細明體"/>
          <w:sz w:val="24"/>
          <w:szCs w:val="24"/>
        </w:rPr>
        <w:t>察、防暴隊的數目、裝備和效率都要大大提高，以防備愈來愈激烈的破壞活動，也要面對現實，應付未來特發和頻密的社會運動和民粹風潮。</w:t>
      </w:r>
    </w:p>
    <w:p w14:paraId="5825E745">
      <w:pPr>
        <w:pStyle w:val="4"/>
        <w:rPr>
          <w:rFonts w:ascii="新細明體" w:hAnsi="新細明體" w:eastAsia="新細明體"/>
          <w:color w:val="ED7D31" w:themeColor="accent2"/>
          <w:sz w:val="24"/>
          <w14:textFill>
            <w14:solidFill>
              <w14:schemeClr w14:val="accent2"/>
            </w14:solidFill>
          </w14:textFill>
        </w:rPr>
      </w:pPr>
      <w:bookmarkStart w:id="70" w:name="_Toc27055002"/>
      <w:r>
        <w:rPr>
          <w:rFonts w:hint="eastAsia" w:ascii="新細明體" w:hAnsi="新細明體" w:eastAsia="新細明體"/>
          <w:color w:val="ED7D31" w:themeColor="accent2"/>
          <w:sz w:val="24"/>
          <w14:textFill>
            <w14:solidFill>
              <w14:schemeClr w14:val="accent2"/>
            </w14:solidFill>
          </w14:textFill>
        </w:rPr>
        <w:t>成立監察</w:t>
      </w:r>
      <w:bookmarkStart w:id="71" w:name="_Hlk27040511"/>
      <w:r>
        <w:rPr>
          <w:rFonts w:hint="eastAsia" w:ascii="新細明體" w:hAnsi="新細明體" w:eastAsia="新細明體"/>
          <w:color w:val="ED7D31" w:themeColor="accent2"/>
          <w:sz w:val="24"/>
          <w14:textFill>
            <w14:solidFill>
              <w14:schemeClr w14:val="accent2"/>
            </w14:solidFill>
          </w14:textFill>
        </w:rPr>
        <w:t>社交媒體</w:t>
      </w:r>
      <w:bookmarkEnd w:id="71"/>
      <w:r>
        <w:rPr>
          <w:rFonts w:hint="eastAsia" w:ascii="新細明體" w:hAnsi="新細明體" w:eastAsia="新細明體"/>
          <w:color w:val="ED7D31" w:themeColor="accent2"/>
          <w:sz w:val="24"/>
          <w14:textFill>
            <w14:solidFill>
              <w14:schemeClr w14:val="accent2"/>
            </w14:solidFill>
          </w14:textFill>
        </w:rPr>
        <w:t>機構</w:t>
      </w:r>
      <w:bookmarkEnd w:id="70"/>
    </w:p>
    <w:p w14:paraId="0BB8318F">
      <w:pPr>
        <w:spacing w:line="240" w:lineRule="auto"/>
        <w:jc w:val="both"/>
        <w:rPr>
          <w:rFonts w:ascii="新細明體" w:hAnsi="新細明體"/>
          <w:sz w:val="24"/>
          <w:szCs w:val="24"/>
        </w:rPr>
      </w:pPr>
      <w:r>
        <w:rPr>
          <w:rFonts w:hint="eastAsia" w:ascii="新細明體" w:hAnsi="新細明體"/>
          <w:sz w:val="24"/>
          <w:szCs w:val="24"/>
        </w:rPr>
        <w:t>特區政府應籌備徹底改革香港社交媒體市場成立</w:t>
      </w:r>
      <w:bookmarkStart w:id="72" w:name="_Hlk26799281"/>
      <w:r>
        <w:rPr>
          <w:rFonts w:hint="eastAsia" w:ascii="新細明體" w:hAnsi="新細明體"/>
          <w:sz w:val="24"/>
          <w:szCs w:val="24"/>
        </w:rPr>
        <w:t>監察</w:t>
      </w:r>
      <w:bookmarkEnd w:id="72"/>
      <w:r>
        <w:rPr>
          <w:rFonts w:hint="eastAsia" w:ascii="新細明體" w:hAnsi="新細明體"/>
          <w:sz w:val="24"/>
          <w:szCs w:val="24"/>
        </w:rPr>
        <w:t>機搆，制定受規管活動的具體規定及執行法規，如查真偽的思考（Fact Check</w:t>
      </w:r>
      <w:r>
        <w:rPr>
          <w:rFonts w:ascii="新細明體" w:hAnsi="新細明體"/>
          <w:sz w:val="24"/>
          <w:szCs w:val="24"/>
        </w:rPr>
        <w:t>）</w:t>
      </w:r>
      <w:r>
        <w:rPr>
          <w:rFonts w:hint="eastAsia" w:ascii="新細明體" w:hAnsi="新細明體"/>
          <w:sz w:val="24"/>
          <w:szCs w:val="24"/>
        </w:rPr>
        <w:t>，審慎責任(duty of care</w:t>
      </w:r>
      <w:r>
        <w:rPr>
          <w:rFonts w:ascii="新細明體" w:hAnsi="新細明體"/>
          <w:sz w:val="24"/>
          <w:szCs w:val="24"/>
        </w:rPr>
        <w:t>)</w:t>
      </w:r>
      <w:r>
        <w:rPr>
          <w:rFonts w:hint="eastAsia"/>
        </w:rPr>
        <w:t xml:space="preserve"> </w:t>
      </w:r>
      <w:r>
        <w:rPr>
          <w:rFonts w:hint="eastAsia" w:ascii="新細明體" w:hAnsi="新細明體"/>
          <w:sz w:val="24"/>
          <w:szCs w:val="24"/>
        </w:rPr>
        <w:t>，不作假見證，遏止發放假新聞，利益申報機制，界定何為失當行為，懲罰制裁違規者。重定入職要求，發牌制度、持續培訓，增加從業員的價值觀、凝聚力、提升質素，幫助社交媒體業健康發展，與時並進。推動互聯網之父貝爾納斯(Tim Berners-Lee)</w:t>
      </w:r>
      <w:r>
        <w:rPr>
          <w:rFonts w:hint="eastAsia"/>
        </w:rPr>
        <w:t xml:space="preserve"> 全</w:t>
      </w:r>
      <w:r>
        <w:rPr>
          <w:rFonts w:hint="eastAsia" w:ascii="新細明體" w:hAnsi="新細明體"/>
          <w:sz w:val="24"/>
          <w:szCs w:val="24"/>
        </w:rPr>
        <w:t>球行動計劃的網絡契約(</w:t>
      </w:r>
      <w:r>
        <w:rPr>
          <w:rFonts w:ascii="新細明體" w:hAnsi="新細明體"/>
          <w:sz w:val="24"/>
          <w:szCs w:val="24"/>
        </w:rPr>
        <w:t>Contract for the Web)(</w:t>
      </w:r>
      <w:r>
        <w:rPr>
          <w:rFonts w:hint="eastAsia"/>
        </w:rPr>
        <w:t xml:space="preserve"> </w:t>
      </w:r>
      <w:r>
        <w:rPr>
          <w:rFonts w:hint="eastAsia" w:ascii="新細明體" w:hAnsi="新細明體"/>
          <w:sz w:val="24"/>
          <w:szCs w:val="24"/>
        </w:rPr>
        <w:t>附件4</w:t>
      </w:r>
      <w:r>
        <w:rPr>
          <w:rFonts w:ascii="新細明體" w:hAnsi="新細明體"/>
          <w:sz w:val="24"/>
          <w:szCs w:val="24"/>
        </w:rPr>
        <w:t>)</w:t>
      </w:r>
    </w:p>
    <w:p w14:paraId="14583FD0">
      <w:pPr>
        <w:pStyle w:val="4"/>
        <w:rPr>
          <w:rFonts w:ascii="新細明體" w:hAnsi="新細明體" w:eastAsia="新細明體"/>
          <w:color w:val="ED7D31" w:themeColor="accent2"/>
          <w:sz w:val="24"/>
          <w14:textFill>
            <w14:solidFill>
              <w14:schemeClr w14:val="accent2"/>
            </w14:solidFill>
          </w14:textFill>
        </w:rPr>
      </w:pPr>
      <w:bookmarkStart w:id="73" w:name="_Toc27055003"/>
      <w:r>
        <w:rPr>
          <w:rFonts w:hint="eastAsia" w:ascii="新細明體" w:hAnsi="新細明體" w:eastAsia="新細明體"/>
          <w:color w:val="ED7D31" w:themeColor="accent2"/>
          <w:sz w:val="24"/>
          <w14:textFill>
            <w14:solidFill>
              <w14:schemeClr w14:val="accent2"/>
            </w14:solidFill>
          </w14:textFill>
        </w:rPr>
        <w:t>即捕即判 ，以儆效尤</w:t>
      </w:r>
      <w:bookmarkEnd w:id="73"/>
    </w:p>
    <w:p w14:paraId="23C1B2C5">
      <w:pPr>
        <w:spacing w:line="240" w:lineRule="auto"/>
        <w:jc w:val="both"/>
        <w:rPr>
          <w:rFonts w:ascii="新細明體" w:hAnsi="新細明體"/>
          <w:sz w:val="24"/>
          <w:szCs w:val="24"/>
        </w:rPr>
      </w:pPr>
      <w:r>
        <w:rPr>
          <w:rFonts w:hint="eastAsia" w:ascii="新細明體" w:hAnsi="新細明體"/>
          <w:sz w:val="24"/>
          <w:szCs w:val="24"/>
        </w:rPr>
        <w:t>對犯罪的暴徒不斷增加，對特區香港構成沉重的壓力，為了減輕特區政府相關部門的工作壓力，應以即捕即判罰方法，盡快處理案件，公平審判，以儆效尤；對糾正歪風有幫助的良好市民和公務員，應高調讚賞，以示獎罰分明。但也要加強警力保護守法的青少年和平民百姓，以免受池魚之殃。</w:t>
      </w:r>
    </w:p>
    <w:p w14:paraId="65C38C67">
      <w:pPr>
        <w:pStyle w:val="3"/>
        <w:rPr>
          <w:rFonts w:ascii="新細明體" w:hAnsi="新細明體" w:eastAsia="新細明體"/>
          <w:sz w:val="24"/>
          <w:szCs w:val="24"/>
        </w:rPr>
      </w:pPr>
      <w:bookmarkStart w:id="74" w:name="_Toc27055004"/>
      <w:bookmarkStart w:id="75" w:name="_Hlk26793509"/>
      <w:r>
        <w:rPr>
          <w:rFonts w:hint="eastAsia" w:ascii="新細明體" w:hAnsi="新細明體" w:eastAsia="新細明體"/>
          <w:sz w:val="24"/>
          <w:szCs w:val="24"/>
        </w:rPr>
        <w:t>長遠建議</w:t>
      </w:r>
      <w:bookmarkEnd w:id="74"/>
    </w:p>
    <w:p w14:paraId="05A8F2A9">
      <w:pPr>
        <w:pStyle w:val="4"/>
        <w:rPr>
          <w:rFonts w:ascii="新細明體" w:hAnsi="新細明體" w:eastAsia="新細明體"/>
          <w:color w:val="ED7D31" w:themeColor="accent2"/>
          <w:sz w:val="24"/>
          <w14:textFill>
            <w14:solidFill>
              <w14:schemeClr w14:val="accent2"/>
            </w14:solidFill>
          </w14:textFill>
        </w:rPr>
      </w:pPr>
      <w:bookmarkStart w:id="76" w:name="_Toc27055005"/>
      <w:r>
        <w:rPr>
          <w:rFonts w:hint="eastAsia" w:ascii="新細明體" w:hAnsi="新細明體" w:eastAsia="新細明體"/>
          <w:color w:val="ED7D31" w:themeColor="accent2"/>
          <w:sz w:val="24"/>
          <w14:textFill>
            <w14:solidFill>
              <w14:schemeClr w14:val="accent2"/>
            </w14:solidFill>
          </w14:textFill>
        </w:rPr>
        <w:t>製造就業機會</w:t>
      </w:r>
      <w:bookmarkEnd w:id="76"/>
    </w:p>
    <w:bookmarkEnd w:id="75"/>
    <w:p w14:paraId="7AB9B8CE">
      <w:pPr>
        <w:spacing w:line="240" w:lineRule="auto"/>
        <w:jc w:val="both"/>
        <w:rPr>
          <w:rFonts w:ascii="新細明體" w:hAnsi="新細明體"/>
          <w:sz w:val="24"/>
          <w:szCs w:val="24"/>
        </w:rPr>
      </w:pPr>
      <w:r>
        <w:rPr>
          <w:rFonts w:hint="eastAsia" w:ascii="新細明體" w:hAnsi="新細明體"/>
          <w:sz w:val="24"/>
          <w:szCs w:val="24"/>
        </w:rPr>
        <w:t>一定要</w:t>
      </w:r>
      <w:bookmarkStart w:id="77" w:name="_Hlk26799383"/>
      <w:r>
        <w:rPr>
          <w:rFonts w:hint="eastAsia" w:ascii="新細明體" w:hAnsi="新細明體"/>
          <w:sz w:val="24"/>
          <w:szCs w:val="24"/>
        </w:rPr>
        <w:t>製造就業機會</w:t>
      </w:r>
      <w:bookmarkEnd w:id="77"/>
      <w:r>
        <w:rPr>
          <w:rFonts w:hint="eastAsia" w:ascii="新細明體" w:hAnsi="新細明體"/>
          <w:sz w:val="24"/>
          <w:szCs w:val="24"/>
        </w:rPr>
        <w:t>。香港作為一個札根亞洲的國際金融中心，擁有多元化的核心價值，包括尊重法治、廉潔、公平公正、民主自由、金融開放，保障私人財產等</w:t>
      </w:r>
      <w:sdt>
        <w:sdtPr>
          <w:rPr>
            <w:rFonts w:hint="eastAsia" w:ascii="新細明體" w:hAnsi="新細明體"/>
            <w:sz w:val="24"/>
            <w:szCs w:val="24"/>
          </w:rPr>
          <w:id w:val="-658767320"/>
        </w:sdtPr>
        <w:sdtEndPr>
          <w:rPr>
            <w:rFonts w:hint="eastAsia" w:ascii="新細明體" w:hAnsi="新細明體"/>
            <w:sz w:val="24"/>
            <w:szCs w:val="24"/>
          </w:rPr>
        </w:sdtEndPr>
        <w:sdtContent>
          <w:r>
            <w:rPr>
              <w:rFonts w:ascii="新細明體" w:hAnsi="新細明體"/>
              <w:sz w:val="24"/>
              <w:szCs w:val="24"/>
            </w:rPr>
            <w:fldChar w:fldCharType="begin"/>
          </w:r>
          <w:r>
            <w:rPr>
              <w:rFonts w:ascii="新細明體" w:hAnsi="新細明體"/>
              <w:sz w:val="24"/>
              <w:szCs w:val="24"/>
            </w:rPr>
            <w:instrText xml:space="preserve">CITATION Che171 \l 15369 </w:instrText>
          </w:r>
          <w:r>
            <w:rPr>
              <w:rFonts w:ascii="新細明體" w:hAnsi="新細明體"/>
              <w:sz w:val="24"/>
              <w:szCs w:val="24"/>
            </w:rPr>
            <w:fldChar w:fldCharType="separate"/>
          </w:r>
          <w:r>
            <w:rPr>
              <w:rFonts w:ascii="新細明體" w:hAnsi="新細明體"/>
              <w:sz w:val="24"/>
              <w:szCs w:val="24"/>
            </w:rPr>
            <w:t xml:space="preserve"> (朱維鵬, 2017)</w:t>
          </w:r>
          <w:r>
            <w:rPr>
              <w:rFonts w:ascii="新細明體" w:hAnsi="新細明體"/>
              <w:sz w:val="24"/>
              <w:szCs w:val="24"/>
            </w:rPr>
            <w:fldChar w:fldCharType="end"/>
          </w:r>
        </w:sdtContent>
      </w:sdt>
      <w:r>
        <w:rPr>
          <w:rFonts w:hint="eastAsia" w:ascii="新細明體" w:hAnsi="新細明體"/>
          <w:sz w:val="24"/>
          <w:szCs w:val="24"/>
        </w:rPr>
        <w:t>，定位於中國大灣區發展和一帶一路國策中，並能發揮跳板的作用。金融市場應考慮建立多間交易所和相關的中央結算所，除了現有的證券交易所外，應研究建立債券交易所、國際股票交易所、鑽石交易所，期貨、衍生產品交易所等，各從其類，分擔風險，專業管理，培育人才，同時間也可製造金融業就業機會。</w:t>
      </w:r>
    </w:p>
    <w:p w14:paraId="710F5E15">
      <w:pPr>
        <w:pStyle w:val="4"/>
        <w:rPr>
          <w:rFonts w:ascii="新細明體" w:hAnsi="新細明體" w:eastAsia="新細明體"/>
          <w:color w:val="ED7D31" w:themeColor="accent2"/>
          <w:sz w:val="24"/>
          <w14:textFill>
            <w14:solidFill>
              <w14:schemeClr w14:val="accent2"/>
            </w14:solidFill>
          </w14:textFill>
        </w:rPr>
      </w:pPr>
      <w:bookmarkStart w:id="78" w:name="_Toc27055006"/>
      <w:r>
        <w:rPr>
          <w:rFonts w:hint="eastAsia" w:ascii="新細明體" w:hAnsi="新細明體" w:eastAsia="新細明體"/>
          <w:color w:val="ED7D31" w:themeColor="accent2"/>
          <w:sz w:val="24"/>
          <w14:textFill>
            <w14:solidFill>
              <w14:schemeClr w14:val="accent2"/>
            </w14:solidFill>
          </w14:textFill>
        </w:rPr>
        <w:t>重視公民，國民教育</w:t>
      </w:r>
      <w:bookmarkEnd w:id="78"/>
      <w:r>
        <w:rPr>
          <w:rFonts w:hint="eastAsia" w:ascii="新細明體" w:hAnsi="新細明體" w:eastAsia="新細明體"/>
          <w:color w:val="ED7D31" w:themeColor="accent2"/>
          <w:sz w:val="24"/>
          <w14:textFill>
            <w14:solidFill>
              <w14:schemeClr w14:val="accent2"/>
            </w14:solidFill>
          </w14:textFill>
        </w:rPr>
        <w:t>，徹底改革教育界</w:t>
      </w:r>
    </w:p>
    <w:p w14:paraId="7B30D166">
      <w:pPr>
        <w:spacing w:line="240" w:lineRule="auto"/>
        <w:jc w:val="both"/>
        <w:rPr>
          <w:rFonts w:ascii="新細明體" w:hAnsi="新細明體"/>
          <w:sz w:val="24"/>
          <w:szCs w:val="24"/>
        </w:rPr>
      </w:pPr>
      <w:r>
        <w:rPr>
          <w:rFonts w:hint="eastAsia" w:ascii="新細明體" w:hAnsi="新細明體"/>
          <w:sz w:val="24"/>
          <w:szCs w:val="24"/>
        </w:rPr>
        <w:t>重視公民，國民教育及跨行業的培訓。尊重年青人的世界和意見，提供合適的教育機會和專業訓練，如跨行業的培訓，不但可增加年青人的就業機會，更可擴闊生活空間和尊重別人。課室裡，老師和多個學生可同時分享感受，人人隨時提問、隨時回答，師生變得平等了，尊師重道的禮貌要求降低了，這類創新嘗試，好壞參半，全憑大家如何適當地運用。 (廉政公署(ICAC), 2011)</w:t>
      </w:r>
      <w:r>
        <w:rPr>
          <w:rFonts w:ascii="新細明體" w:hAnsi="新細明體"/>
          <w:sz w:val="24"/>
          <w:szCs w:val="24"/>
        </w:rPr>
        <w:t xml:space="preserve"> </w:t>
      </w:r>
      <w:r>
        <w:rPr>
          <w:rFonts w:hint="eastAsia" w:ascii="新細明體" w:hAnsi="新細明體"/>
          <w:sz w:val="24"/>
          <w:szCs w:val="24"/>
        </w:rPr>
        <w:t>六個月的社會運動，被捕者當中的學生為數不小，事出有因，特區政府應開始研究徹底改革教育界。</w:t>
      </w:r>
    </w:p>
    <w:p w14:paraId="56679B3E">
      <w:pPr>
        <w:pStyle w:val="2"/>
        <w:spacing w:after="240" w:line="240" w:lineRule="auto"/>
        <w:rPr>
          <w:rFonts w:ascii="新細明體" w:hAnsi="新細明體" w:eastAsia="新細明體"/>
          <w:sz w:val="24"/>
          <w:szCs w:val="24"/>
        </w:rPr>
      </w:pPr>
      <w:bookmarkStart w:id="79" w:name="_Toc27055007"/>
      <w:r>
        <w:rPr>
          <w:rFonts w:hint="eastAsia" w:ascii="新細明體" w:hAnsi="新細明體" w:eastAsia="新細明體"/>
          <w:sz w:val="24"/>
          <w:szCs w:val="24"/>
        </w:rPr>
        <w:t>最後建議</w:t>
      </w:r>
      <w:bookmarkEnd w:id="79"/>
    </w:p>
    <w:p w14:paraId="4D87D506">
      <w:pPr>
        <w:spacing w:line="240" w:lineRule="auto"/>
        <w:jc w:val="both"/>
        <w:rPr>
          <w:rFonts w:ascii="新細明體" w:hAnsi="新細明體"/>
          <w:sz w:val="24"/>
          <w:szCs w:val="24"/>
        </w:rPr>
      </w:pPr>
      <w:r>
        <w:rPr>
          <w:rFonts w:hint="eastAsia" w:ascii="新細明體" w:hAnsi="新細明體"/>
          <w:sz w:val="24"/>
          <w:szCs w:val="24"/>
        </w:rPr>
        <w:t>管治者如要修補破窗，正如上文「修補破窗」（Fixing Broken Windows）理論的描述，特區政府要放下尊嚴，集思廣益，加強溝通，從善如流，找出漏洞，並及時更正過來，尋求妥協方案或下台階，切勿玩弄心計或矯枉過正。</w:t>
      </w:r>
    </w:p>
    <w:p w14:paraId="7A1E48A8">
      <w:pPr>
        <w:spacing w:line="240" w:lineRule="auto"/>
        <w:jc w:val="both"/>
        <w:rPr>
          <w:rFonts w:ascii="新細明體" w:hAnsi="新細明體"/>
          <w:sz w:val="24"/>
          <w:szCs w:val="24"/>
        </w:rPr>
      </w:pPr>
      <w:r>
        <w:rPr>
          <w:rFonts w:hint="eastAsia" w:ascii="新細明體" w:hAnsi="新細明體"/>
          <w:sz w:val="24"/>
          <w:szCs w:val="24"/>
        </w:rPr>
        <w:t>寄望這次社會運動，就如香港遇上百年一遇的黃河泛濫，災難過後，吸取教訓，重新上路，迎接百物重生的未來。</w:t>
      </w:r>
    </w:p>
    <w:p w14:paraId="33F8B039">
      <w:pPr>
        <w:widowControl/>
        <w:rPr>
          <w:rFonts w:ascii="新細明體" w:hAnsi="新細明體" w:cstheme="majorBidi"/>
          <w:b/>
          <w:color w:val="2F5597" w:themeColor="accent1" w:themeShade="BF"/>
          <w:sz w:val="24"/>
          <w:szCs w:val="24"/>
        </w:rPr>
      </w:pPr>
      <w:r>
        <w:rPr>
          <w:rFonts w:ascii="新細明體" w:hAnsi="新細明體"/>
          <w:sz w:val="24"/>
          <w:szCs w:val="24"/>
        </w:rPr>
        <w:br w:type="page"/>
      </w:r>
    </w:p>
    <w:p w14:paraId="3515047B">
      <w:pPr>
        <w:pStyle w:val="2"/>
        <w:spacing w:line="240" w:lineRule="auto"/>
        <w:rPr>
          <w:rFonts w:ascii="新細明體" w:hAnsi="新細明體" w:eastAsia="新細明體"/>
          <w:sz w:val="24"/>
          <w:szCs w:val="24"/>
        </w:rPr>
      </w:pPr>
      <w:bookmarkStart w:id="80" w:name="_Toc27055008"/>
      <w:r>
        <w:rPr>
          <w:rFonts w:hint="eastAsia" w:ascii="新細明體" w:hAnsi="新細明體" w:eastAsia="新細明體"/>
          <w:sz w:val="24"/>
          <w:szCs w:val="24"/>
        </w:rPr>
        <w:t>附件</w:t>
      </w:r>
      <w:bookmarkEnd w:id="80"/>
    </w:p>
    <w:p w14:paraId="5E6208BF">
      <w:pPr>
        <w:pStyle w:val="24"/>
        <w:numPr>
          <w:ilvl w:val="0"/>
          <w:numId w:val="3"/>
        </w:numPr>
        <w:spacing w:before="120" w:after="0" w:line="240" w:lineRule="auto"/>
        <w:ind w:left="714" w:hanging="357"/>
        <w:contextualSpacing w:val="0"/>
        <w:jc w:val="both"/>
        <w:rPr>
          <w:rFonts w:ascii="新細明體" w:hAnsi="新細明體"/>
          <w:sz w:val="24"/>
          <w:szCs w:val="24"/>
        </w:rPr>
      </w:pPr>
      <w:r>
        <w:rPr>
          <w:rFonts w:hint="eastAsia" w:ascii="新細明體" w:hAnsi="新細明體"/>
          <w:sz w:val="24"/>
          <w:szCs w:val="24"/>
        </w:rPr>
        <w:t>集體群眾所要求的五大訴求</w:t>
      </w:r>
    </w:p>
    <w:p w14:paraId="78354E0F">
      <w:pPr>
        <w:spacing w:after="0" w:line="240" w:lineRule="auto"/>
        <w:ind w:left="357"/>
        <w:jc w:val="both"/>
        <w:rPr>
          <w:rFonts w:ascii="新細明體" w:hAnsi="新細明體"/>
          <w:sz w:val="24"/>
          <w:szCs w:val="24"/>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5"/>
      </w:tblGrid>
      <w:tr w14:paraId="4F3A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5905" w:type="dxa"/>
            <w:shd w:val="clear" w:color="auto" w:fill="FFC000"/>
          </w:tcPr>
          <w:p w14:paraId="0C69BB12">
            <w:pPr>
              <w:pStyle w:val="24"/>
              <w:spacing w:after="0" w:line="240" w:lineRule="auto"/>
              <w:ind w:left="0"/>
              <w:jc w:val="center"/>
              <w:rPr>
                <w:rFonts w:ascii="新細明體" w:hAnsi="新細明體"/>
                <w:b/>
                <w:bCs/>
                <w:sz w:val="24"/>
                <w:szCs w:val="24"/>
              </w:rPr>
            </w:pPr>
            <w:bookmarkStart w:id="81" w:name="_Hlk32929426"/>
            <w:r>
              <w:rPr>
                <w:rFonts w:hint="eastAsia" w:ascii="新細明體" w:hAnsi="新細明體"/>
                <w:b/>
                <w:bCs/>
                <w:sz w:val="24"/>
                <w:szCs w:val="24"/>
              </w:rPr>
              <w:t>五大訴求</w:t>
            </w:r>
          </w:p>
        </w:tc>
      </w:tr>
      <w:tr w14:paraId="5AA6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5905" w:type="dxa"/>
            <w:shd w:val="clear" w:color="auto" w:fill="FFFF00"/>
          </w:tcPr>
          <w:p w14:paraId="0A863B85">
            <w:pPr>
              <w:pStyle w:val="24"/>
              <w:numPr>
                <w:ilvl w:val="0"/>
                <w:numId w:val="4"/>
              </w:numPr>
              <w:spacing w:after="0" w:line="240" w:lineRule="auto"/>
              <w:ind w:left="306" w:hanging="284"/>
              <w:jc w:val="both"/>
              <w:rPr>
                <w:rFonts w:ascii="新細明體" w:hAnsi="新細明體"/>
                <w:sz w:val="24"/>
                <w:szCs w:val="24"/>
                <w:highlight w:val="yellow"/>
              </w:rPr>
            </w:pPr>
            <w:r>
              <w:rPr>
                <w:rFonts w:hint="eastAsia" w:ascii="新細明體" w:hAnsi="新細明體"/>
                <w:sz w:val="24"/>
                <w:szCs w:val="24"/>
                <w:highlight w:val="yellow"/>
              </w:rPr>
              <w:t>徹底撤回修例</w:t>
            </w:r>
          </w:p>
        </w:tc>
      </w:tr>
      <w:tr w14:paraId="34E4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905" w:type="dxa"/>
            <w:shd w:val="clear" w:color="auto" w:fill="FFFF00"/>
          </w:tcPr>
          <w:p w14:paraId="2E8EBC8D">
            <w:pPr>
              <w:pStyle w:val="24"/>
              <w:numPr>
                <w:ilvl w:val="0"/>
                <w:numId w:val="4"/>
              </w:numPr>
              <w:spacing w:after="0" w:line="240" w:lineRule="auto"/>
              <w:ind w:left="306" w:hanging="284"/>
              <w:jc w:val="both"/>
              <w:rPr>
                <w:rFonts w:ascii="新細明體" w:hAnsi="新細明體"/>
                <w:sz w:val="24"/>
                <w:szCs w:val="24"/>
                <w:highlight w:val="yellow"/>
              </w:rPr>
            </w:pPr>
            <w:r>
              <w:rPr>
                <w:rFonts w:hint="eastAsia" w:ascii="新細明體" w:hAnsi="新細明體"/>
                <w:sz w:val="24"/>
                <w:szCs w:val="24"/>
                <w:highlight w:val="yellow"/>
              </w:rPr>
              <w:t>收回暴動定義</w:t>
            </w:r>
          </w:p>
        </w:tc>
      </w:tr>
      <w:tr w14:paraId="72074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905" w:type="dxa"/>
            <w:shd w:val="clear" w:color="auto" w:fill="FFFF00"/>
          </w:tcPr>
          <w:p w14:paraId="31FA7FD8">
            <w:pPr>
              <w:pStyle w:val="24"/>
              <w:numPr>
                <w:ilvl w:val="0"/>
                <w:numId w:val="4"/>
              </w:numPr>
              <w:spacing w:after="0" w:line="240" w:lineRule="auto"/>
              <w:ind w:left="306" w:hanging="284"/>
              <w:jc w:val="both"/>
              <w:rPr>
                <w:rFonts w:ascii="新細明體" w:hAnsi="新細明體"/>
                <w:sz w:val="24"/>
                <w:szCs w:val="24"/>
                <w:highlight w:val="yellow"/>
              </w:rPr>
            </w:pPr>
            <w:r>
              <w:rPr>
                <w:rFonts w:hint="eastAsia" w:ascii="新細明體" w:hAnsi="新細明體"/>
                <w:sz w:val="24"/>
                <w:szCs w:val="24"/>
                <w:highlight w:val="yellow"/>
              </w:rPr>
              <w:t>撤銷對所有反送中抗爭者控罪</w:t>
            </w:r>
          </w:p>
        </w:tc>
      </w:tr>
      <w:tr w14:paraId="30AAC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905" w:type="dxa"/>
            <w:shd w:val="clear" w:color="auto" w:fill="FFFF00"/>
          </w:tcPr>
          <w:p w14:paraId="1BAC00E3">
            <w:pPr>
              <w:pStyle w:val="24"/>
              <w:numPr>
                <w:ilvl w:val="0"/>
                <w:numId w:val="4"/>
              </w:numPr>
              <w:spacing w:after="0" w:line="240" w:lineRule="auto"/>
              <w:ind w:left="306" w:hanging="284"/>
              <w:jc w:val="both"/>
              <w:rPr>
                <w:rFonts w:ascii="新細明體" w:hAnsi="新細明體"/>
                <w:sz w:val="24"/>
                <w:szCs w:val="24"/>
                <w:highlight w:val="yellow"/>
              </w:rPr>
            </w:pPr>
            <w:r>
              <w:rPr>
                <w:rFonts w:hint="eastAsia" w:ascii="新細明體" w:hAnsi="新細明體"/>
                <w:sz w:val="24"/>
                <w:szCs w:val="24"/>
                <w:highlight w:val="yellow"/>
              </w:rPr>
              <w:t>徹底追究警隊濫權情況</w:t>
            </w:r>
          </w:p>
        </w:tc>
      </w:tr>
      <w:tr w14:paraId="460AF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905" w:type="dxa"/>
            <w:shd w:val="clear" w:color="auto" w:fill="FFFF00"/>
          </w:tcPr>
          <w:p w14:paraId="23170AEE">
            <w:pPr>
              <w:pStyle w:val="24"/>
              <w:numPr>
                <w:ilvl w:val="0"/>
                <w:numId w:val="4"/>
              </w:numPr>
              <w:spacing w:after="0" w:line="240" w:lineRule="auto"/>
              <w:ind w:left="306" w:hanging="284"/>
              <w:jc w:val="both"/>
              <w:rPr>
                <w:rFonts w:ascii="新細明體" w:hAnsi="新細明體"/>
                <w:sz w:val="24"/>
                <w:szCs w:val="24"/>
                <w:highlight w:val="yellow"/>
              </w:rPr>
            </w:pPr>
            <w:r>
              <w:rPr>
                <w:rFonts w:hint="eastAsia" w:ascii="新細明體" w:hAnsi="新細明體"/>
                <w:sz w:val="24"/>
                <w:szCs w:val="24"/>
                <w:highlight w:val="yellow"/>
              </w:rPr>
              <w:t>以行政命令解散立法會，立即實行雙真普選</w:t>
            </w:r>
          </w:p>
        </w:tc>
      </w:tr>
      <w:bookmarkEnd w:id="81"/>
    </w:tbl>
    <w:p w14:paraId="7D8BE783">
      <w:pPr>
        <w:pStyle w:val="24"/>
        <w:spacing w:before="120" w:after="120" w:line="240" w:lineRule="auto"/>
        <w:ind w:left="714"/>
        <w:contextualSpacing w:val="0"/>
        <w:jc w:val="both"/>
        <w:rPr>
          <w:rFonts w:ascii="新細明體" w:hAnsi="新細明體"/>
          <w:sz w:val="24"/>
          <w:szCs w:val="24"/>
        </w:rPr>
      </w:pPr>
    </w:p>
    <w:p w14:paraId="14AA8EA8">
      <w:pPr>
        <w:pStyle w:val="24"/>
        <w:numPr>
          <w:ilvl w:val="0"/>
          <w:numId w:val="4"/>
        </w:numPr>
        <w:spacing w:before="120" w:after="120" w:line="240" w:lineRule="auto"/>
        <w:ind w:left="714" w:hanging="357"/>
        <w:contextualSpacing w:val="0"/>
        <w:jc w:val="both"/>
        <w:rPr>
          <w:rFonts w:ascii="新細明體" w:hAnsi="新細明體"/>
          <w:sz w:val="24"/>
          <w:szCs w:val="24"/>
        </w:rPr>
      </w:pPr>
      <w:r>
        <w:rPr>
          <w:rFonts w:hint="eastAsia" w:ascii="新細明體" w:hAnsi="新細明體"/>
          <w:sz w:val="24"/>
          <w:szCs w:val="24"/>
        </w:rPr>
        <w:t>穆德（Cas Mudde）的民粹主義定義：</w:t>
      </w:r>
    </w:p>
    <w:p w14:paraId="2FDE96C5">
      <w:pPr>
        <w:pStyle w:val="24"/>
        <w:spacing w:line="240" w:lineRule="auto"/>
        <w:jc w:val="both"/>
        <w:rPr>
          <w:rFonts w:ascii="新細明體" w:hAnsi="新細明體"/>
          <w:sz w:val="24"/>
          <w:szCs w:val="24"/>
        </w:rPr>
      </w:pPr>
      <w:r>
        <w:rPr>
          <w:rFonts w:hint="eastAsia" w:ascii="新細明體" w:hAnsi="新細明體"/>
          <w:sz w:val="24"/>
          <w:szCs w:val="24"/>
        </w:rPr>
        <w:t>民粹主義是一種意識形態，將社會二分為兩個內部同質、彼此對抗的群體──「純粹的人民」（the pure people）對抗「腐敗的菁英」（the corrupt elite），而政治必須是人民「公共意志」（volonté générale）的表現。</w:t>
      </w:r>
    </w:p>
    <w:p w14:paraId="213543EC">
      <w:pPr>
        <w:pStyle w:val="24"/>
        <w:spacing w:line="240" w:lineRule="auto"/>
        <w:jc w:val="both"/>
        <w:rPr>
          <w:rFonts w:ascii="新細明體" w:hAnsi="新細明體"/>
          <w:sz w:val="24"/>
          <w:szCs w:val="24"/>
        </w:rPr>
      </w:pPr>
      <w:r>
        <w:rPr>
          <w:rFonts w:ascii="新細明體" w:hAnsi="新細明體"/>
          <w:sz w:val="24"/>
          <w:szCs w:val="24"/>
        </w:rPr>
        <w:t xml:space="preserve">Matthijis Rooduijin </w:t>
      </w:r>
      <w:r>
        <w:rPr>
          <w:rFonts w:hint="eastAsia" w:ascii="新細明體" w:hAnsi="新細明體"/>
          <w:sz w:val="24"/>
          <w:szCs w:val="24"/>
        </w:rPr>
        <w:t>收集資料後，將由衛報(</w:t>
      </w:r>
      <w:r>
        <w:rPr>
          <w:rFonts w:ascii="新細明體" w:hAnsi="新細明體"/>
          <w:sz w:val="24"/>
          <w:szCs w:val="24"/>
        </w:rPr>
        <w:t>The Guardian)</w:t>
      </w:r>
      <w:r>
        <w:rPr>
          <w:rFonts w:hint="eastAsia" w:ascii="新細明體" w:hAnsi="新細明體"/>
          <w:sz w:val="24"/>
          <w:szCs w:val="24"/>
        </w:rPr>
        <w:t>描繪了歐洲從1</w:t>
      </w:r>
      <w:r>
        <w:rPr>
          <w:rFonts w:ascii="新細明體" w:hAnsi="新細明體"/>
          <w:sz w:val="24"/>
          <w:szCs w:val="24"/>
        </w:rPr>
        <w:t>998</w:t>
      </w:r>
      <w:r>
        <w:rPr>
          <w:rFonts w:hint="eastAsia" w:ascii="新細明體" w:hAnsi="新細明體"/>
          <w:sz w:val="24"/>
          <w:szCs w:val="24"/>
        </w:rPr>
        <w:t>年至2</w:t>
      </w:r>
      <w:r>
        <w:rPr>
          <w:rFonts w:ascii="新細明體" w:hAnsi="新細明體"/>
          <w:sz w:val="24"/>
          <w:szCs w:val="24"/>
        </w:rPr>
        <w:t>018</w:t>
      </w:r>
      <w:r>
        <w:rPr>
          <w:rFonts w:hint="eastAsia" w:ascii="新細明體" w:hAnsi="新細明體"/>
          <w:sz w:val="24"/>
          <w:szCs w:val="24"/>
        </w:rPr>
        <w:t>年，民粹的投票力量如下圖：</w:t>
      </w:r>
    </w:p>
    <w:p w14:paraId="6375D745">
      <w:pPr>
        <w:pStyle w:val="24"/>
        <w:spacing w:line="240" w:lineRule="auto"/>
        <w:jc w:val="both"/>
        <w:rPr>
          <w:rFonts w:ascii="新細明體" w:hAnsi="新細明體"/>
          <w:sz w:val="24"/>
          <w:szCs w:val="24"/>
        </w:rPr>
      </w:pPr>
      <w:r>
        <w:rPr>
          <w:rFonts w:ascii="新細明體" w:hAnsi="新細明體"/>
          <w:sz w:val="24"/>
          <w:szCs w:val="24"/>
        </w:rPr>
        <w:drawing>
          <wp:inline distT="0" distB="0" distL="0" distR="0">
            <wp:extent cx="5731510" cy="29464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5731510" cy="2946400"/>
                    </a:xfrm>
                    <a:prstGeom prst="rect">
                      <a:avLst/>
                    </a:prstGeom>
                  </pic:spPr>
                </pic:pic>
              </a:graphicData>
            </a:graphic>
          </wp:inline>
        </w:drawing>
      </w:r>
    </w:p>
    <w:p w14:paraId="5E9E38E4">
      <w:pPr>
        <w:pStyle w:val="24"/>
        <w:spacing w:line="240" w:lineRule="auto"/>
        <w:jc w:val="both"/>
        <w:rPr>
          <w:rFonts w:ascii="新細明體" w:hAnsi="新細明體"/>
          <w:sz w:val="24"/>
          <w:szCs w:val="24"/>
        </w:rPr>
      </w:pPr>
      <w:r>
        <w:rPr>
          <w:rFonts w:ascii="新細明體" w:hAnsi="新細明體"/>
          <w:sz w:val="24"/>
          <w:szCs w:val="24"/>
        </w:rPr>
        <w:t>(The Guardian, 2018)</w:t>
      </w:r>
    </w:p>
    <w:p w14:paraId="7FBC322B">
      <w:pPr>
        <w:pStyle w:val="24"/>
        <w:spacing w:line="240" w:lineRule="auto"/>
        <w:jc w:val="both"/>
        <w:rPr>
          <w:rFonts w:ascii="新細明體" w:hAnsi="新細明體"/>
          <w:sz w:val="24"/>
          <w:szCs w:val="24"/>
        </w:rPr>
      </w:pPr>
      <w:r>
        <w:rPr>
          <w:rFonts w:ascii="新細明體" w:hAnsi="新細明體"/>
          <w:sz w:val="24"/>
          <w:szCs w:val="24"/>
        </w:rPr>
        <w:drawing>
          <wp:inline distT="0" distB="0" distL="0" distR="0">
            <wp:extent cx="5731510" cy="15170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stretch>
                      <a:fillRect/>
                    </a:stretch>
                  </pic:blipFill>
                  <pic:spPr>
                    <a:xfrm>
                      <a:off x="0" y="0"/>
                      <a:ext cx="5731510" cy="1517015"/>
                    </a:xfrm>
                    <a:prstGeom prst="rect">
                      <a:avLst/>
                    </a:prstGeom>
                  </pic:spPr>
                </pic:pic>
              </a:graphicData>
            </a:graphic>
          </wp:inline>
        </w:drawing>
      </w:r>
    </w:p>
    <w:p w14:paraId="6224D2F6">
      <w:pPr>
        <w:pStyle w:val="24"/>
        <w:spacing w:line="240" w:lineRule="auto"/>
        <w:jc w:val="both"/>
        <w:rPr>
          <w:rFonts w:ascii="新細明體" w:hAnsi="新細明體"/>
          <w:sz w:val="24"/>
          <w:szCs w:val="24"/>
        </w:rPr>
      </w:pPr>
      <w:sdt>
        <w:sdtPr>
          <w:rPr>
            <w:rFonts w:hint="eastAsia" w:ascii="新細明體" w:hAnsi="新細明體"/>
            <w:sz w:val="24"/>
            <w:szCs w:val="24"/>
          </w:rPr>
          <w:id w:val="-25485612"/>
        </w:sdtPr>
        <w:sdtEndPr>
          <w:rPr>
            <w:rFonts w:hint="eastAsia" w:ascii="新細明體" w:hAnsi="新細明體"/>
            <w:sz w:val="24"/>
            <w:szCs w:val="24"/>
          </w:rPr>
        </w:sdtEndPr>
        <w:sdtContent>
          <w:r>
            <w:rPr>
              <w:rFonts w:ascii="新細明體" w:hAnsi="新細明體"/>
              <w:sz w:val="24"/>
              <w:szCs w:val="24"/>
            </w:rPr>
            <w:fldChar w:fldCharType="begin"/>
          </w:r>
          <w:r>
            <w:rPr>
              <w:rFonts w:ascii="新細明體" w:hAnsi="新細明體"/>
              <w:sz w:val="24"/>
              <w:szCs w:val="24"/>
            </w:rPr>
            <w:instrText xml:space="preserve">CITATION The18 \l 15369 </w:instrText>
          </w:r>
          <w:r>
            <w:rPr>
              <w:rFonts w:ascii="新細明體" w:hAnsi="新細明體"/>
              <w:sz w:val="24"/>
              <w:szCs w:val="24"/>
            </w:rPr>
            <w:fldChar w:fldCharType="separate"/>
          </w:r>
          <w:r>
            <w:rPr>
              <w:rFonts w:ascii="新細明體" w:hAnsi="新細明體"/>
              <w:sz w:val="24"/>
              <w:szCs w:val="24"/>
            </w:rPr>
            <w:t>(The Guardian, 2018)</w:t>
          </w:r>
          <w:r>
            <w:rPr>
              <w:rFonts w:ascii="新細明體" w:hAnsi="新細明體"/>
              <w:sz w:val="24"/>
              <w:szCs w:val="24"/>
            </w:rPr>
            <w:fldChar w:fldCharType="end"/>
          </w:r>
        </w:sdtContent>
      </w:sdt>
    </w:p>
    <w:p w14:paraId="6D68ACE1">
      <w:pPr>
        <w:pStyle w:val="24"/>
        <w:spacing w:line="240" w:lineRule="auto"/>
        <w:jc w:val="both"/>
        <w:rPr>
          <w:rFonts w:ascii="新細明體" w:hAnsi="新細明體"/>
          <w:sz w:val="24"/>
          <w:szCs w:val="24"/>
        </w:rPr>
      </w:pPr>
    </w:p>
    <w:p w14:paraId="2C474519">
      <w:pPr>
        <w:pStyle w:val="24"/>
        <w:numPr>
          <w:ilvl w:val="0"/>
          <w:numId w:val="4"/>
        </w:numPr>
        <w:spacing w:before="120" w:after="120" w:line="240" w:lineRule="auto"/>
        <w:ind w:left="714" w:hanging="357"/>
        <w:contextualSpacing w:val="0"/>
        <w:jc w:val="both"/>
        <w:rPr>
          <w:rFonts w:ascii="新細明體" w:hAnsi="新細明體"/>
          <w:sz w:val="24"/>
          <w:szCs w:val="24"/>
        </w:rPr>
      </w:pPr>
      <w:r>
        <w:rPr>
          <w:rFonts w:hint="eastAsia" w:ascii="新細明體" w:hAnsi="新細明體"/>
          <w:sz w:val="24"/>
          <w:szCs w:val="24"/>
        </w:rPr>
        <w:t>群體極化效應(</w:t>
      </w:r>
      <w:r>
        <w:rPr>
          <w:rFonts w:ascii="新細明體" w:hAnsi="新細明體"/>
          <w:sz w:val="24"/>
          <w:szCs w:val="24"/>
        </w:rPr>
        <w:t>Group Polarization)</w:t>
      </w:r>
    </w:p>
    <w:p w14:paraId="4EBE7357">
      <w:pPr>
        <w:pStyle w:val="24"/>
        <w:spacing w:line="240" w:lineRule="auto"/>
        <w:jc w:val="both"/>
        <w:rPr>
          <w:rFonts w:ascii="新細明體" w:hAnsi="新細明體"/>
          <w:sz w:val="24"/>
          <w:szCs w:val="24"/>
        </w:rPr>
      </w:pPr>
      <w:r>
        <w:rPr>
          <w:rFonts w:hint="eastAsia" w:ascii="新細明體" w:hAnsi="新細明體"/>
          <w:sz w:val="24"/>
          <w:szCs w:val="24"/>
        </w:rPr>
        <w:t>即指觀點相近的網民一開始就有某種偏向，通過網絡上的相互影響，在群體的壓力下產生從眾心理，主觀傾向繼續偏移，失去了對信息的理智分析和判斷，最終群體性地形成極端觀點。</w:t>
      </w:r>
    </w:p>
    <w:p w14:paraId="7528CFC9">
      <w:pPr>
        <w:pStyle w:val="24"/>
        <w:spacing w:line="240" w:lineRule="auto"/>
        <w:jc w:val="both"/>
        <w:rPr>
          <w:rFonts w:ascii="新細明體" w:hAnsi="新細明體"/>
          <w:sz w:val="24"/>
          <w:szCs w:val="24"/>
        </w:rPr>
      </w:pPr>
    </w:p>
    <w:p w14:paraId="327243F2">
      <w:pPr>
        <w:pStyle w:val="24"/>
        <w:numPr>
          <w:ilvl w:val="0"/>
          <w:numId w:val="4"/>
        </w:numPr>
        <w:spacing w:line="240" w:lineRule="auto"/>
        <w:jc w:val="both"/>
        <w:rPr>
          <w:rFonts w:ascii="新細明體" w:hAnsi="新細明體"/>
          <w:sz w:val="24"/>
          <w:szCs w:val="24"/>
        </w:rPr>
      </w:pPr>
      <w:r>
        <w:rPr>
          <w:rFonts w:hint="eastAsia" w:ascii="新細明體" w:hAnsi="新細明體"/>
          <w:sz w:val="24"/>
          <w:szCs w:val="24"/>
        </w:rPr>
        <w:t>網絡契約</w:t>
      </w:r>
    </w:p>
    <w:p w14:paraId="716E9E03">
      <w:pPr>
        <w:pStyle w:val="24"/>
        <w:spacing w:line="240" w:lineRule="auto"/>
        <w:jc w:val="both"/>
        <w:rPr>
          <w:rFonts w:ascii="新細明體" w:hAnsi="新細明體"/>
          <w:sz w:val="24"/>
          <w:szCs w:val="24"/>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3"/>
      </w:tblGrid>
      <w:tr w14:paraId="40D5A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923" w:type="dxa"/>
            <w:shd w:val="clear" w:color="auto" w:fill="FFC000"/>
            <w:vAlign w:val="center"/>
          </w:tcPr>
          <w:p w14:paraId="643E3074">
            <w:pPr>
              <w:pStyle w:val="24"/>
              <w:spacing w:after="0" w:line="240" w:lineRule="auto"/>
              <w:ind w:left="0"/>
              <w:jc w:val="center"/>
              <w:rPr>
                <w:rFonts w:ascii="新細明體" w:hAnsi="新細明體"/>
                <w:b/>
                <w:bCs/>
                <w:sz w:val="24"/>
                <w:szCs w:val="24"/>
              </w:rPr>
            </w:pPr>
            <w:r>
              <w:rPr>
                <w:rFonts w:hint="eastAsia" w:ascii="新細明體" w:hAnsi="新細明體"/>
                <w:b/>
                <w:bCs/>
                <w:sz w:val="24"/>
                <w:szCs w:val="24"/>
              </w:rPr>
              <w:t>網絡契約九大原則</w:t>
            </w:r>
          </w:p>
        </w:tc>
      </w:tr>
      <w:tr w14:paraId="4E79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923" w:type="dxa"/>
            <w:shd w:val="clear" w:color="auto" w:fill="FEF2CC" w:themeFill="accent4" w:themeFillTint="33"/>
            <w:vAlign w:val="center"/>
          </w:tcPr>
          <w:p w14:paraId="03402286">
            <w:pPr>
              <w:pStyle w:val="24"/>
              <w:spacing w:after="0" w:line="240" w:lineRule="auto"/>
              <w:ind w:left="0"/>
              <w:rPr>
                <w:rFonts w:ascii="新細明體" w:hAnsi="新細明體"/>
                <w:b/>
                <w:bCs/>
                <w:sz w:val="24"/>
                <w:szCs w:val="24"/>
              </w:rPr>
            </w:pPr>
            <w:r>
              <w:rPr>
                <w:rFonts w:hint="eastAsia" w:ascii="新細明體" w:hAnsi="新細明體"/>
                <w:b/>
                <w:bCs/>
                <w:sz w:val="24"/>
                <w:szCs w:val="24"/>
              </w:rPr>
              <w:t>政府層面：</w:t>
            </w:r>
          </w:p>
        </w:tc>
      </w:tr>
      <w:tr w14:paraId="7BBC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923" w:type="dxa"/>
            <w:shd w:val="clear" w:color="auto" w:fill="FFFF00"/>
            <w:vAlign w:val="center"/>
          </w:tcPr>
          <w:p w14:paraId="60280E5F">
            <w:pPr>
              <w:pStyle w:val="24"/>
              <w:numPr>
                <w:ilvl w:val="0"/>
                <w:numId w:val="5"/>
              </w:numPr>
              <w:spacing w:after="0" w:line="240" w:lineRule="auto"/>
              <w:ind w:left="306"/>
              <w:jc w:val="both"/>
              <w:rPr>
                <w:rFonts w:ascii="新細明體" w:hAnsi="新細明體"/>
                <w:sz w:val="24"/>
                <w:szCs w:val="24"/>
                <w:highlight w:val="yellow"/>
              </w:rPr>
            </w:pPr>
            <w:r>
              <w:rPr>
                <w:rFonts w:hint="eastAsia" w:ascii="新細明體" w:hAnsi="新細明體"/>
                <w:sz w:val="24"/>
                <w:szCs w:val="24"/>
                <w:highlight w:val="yellow"/>
              </w:rPr>
              <w:t>確保每個人都能聯網</w:t>
            </w:r>
          </w:p>
        </w:tc>
      </w:tr>
      <w:tr w14:paraId="71545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923" w:type="dxa"/>
            <w:shd w:val="clear" w:color="auto" w:fill="FFFF00"/>
            <w:vAlign w:val="center"/>
          </w:tcPr>
          <w:p w14:paraId="7F656EB0">
            <w:pPr>
              <w:pStyle w:val="24"/>
              <w:numPr>
                <w:ilvl w:val="0"/>
                <w:numId w:val="5"/>
              </w:numPr>
              <w:spacing w:after="0" w:line="240" w:lineRule="auto"/>
              <w:ind w:left="306"/>
              <w:jc w:val="both"/>
              <w:rPr>
                <w:rFonts w:ascii="新細明體" w:hAnsi="新細明體"/>
                <w:sz w:val="24"/>
                <w:szCs w:val="24"/>
                <w:highlight w:val="yellow"/>
              </w:rPr>
            </w:pPr>
            <w:r>
              <w:rPr>
                <w:rFonts w:hint="eastAsia" w:ascii="新細明體" w:hAnsi="新細明體"/>
                <w:sz w:val="24"/>
                <w:szCs w:val="24"/>
                <w:highlight w:val="yellow"/>
              </w:rPr>
              <w:t>保持整個互聯網在任何時間都通行無阻</w:t>
            </w:r>
          </w:p>
        </w:tc>
      </w:tr>
      <w:tr w14:paraId="0D83A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923" w:type="dxa"/>
            <w:shd w:val="clear" w:color="auto" w:fill="FFFF00"/>
            <w:vAlign w:val="center"/>
          </w:tcPr>
          <w:p w14:paraId="4B7974D3">
            <w:pPr>
              <w:pStyle w:val="24"/>
              <w:numPr>
                <w:ilvl w:val="0"/>
                <w:numId w:val="5"/>
              </w:numPr>
              <w:spacing w:after="0" w:line="240" w:lineRule="auto"/>
              <w:ind w:left="306"/>
              <w:jc w:val="both"/>
              <w:rPr>
                <w:rFonts w:ascii="新細明體" w:hAnsi="新細明體"/>
                <w:sz w:val="24"/>
                <w:szCs w:val="24"/>
                <w:highlight w:val="yellow"/>
              </w:rPr>
            </w:pPr>
            <w:r>
              <w:rPr>
                <w:rFonts w:hint="eastAsia" w:ascii="新細明體" w:hAnsi="新細明體"/>
                <w:sz w:val="24"/>
                <w:szCs w:val="24"/>
                <w:highlight w:val="yellow"/>
              </w:rPr>
              <w:t>尊重和保障人民的基本網上私隱及數據權利</w:t>
            </w:r>
          </w:p>
        </w:tc>
      </w:tr>
      <w:tr w14:paraId="0FCF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923" w:type="dxa"/>
            <w:shd w:val="clear" w:color="auto" w:fill="FEF2CC" w:themeFill="accent4" w:themeFillTint="33"/>
            <w:vAlign w:val="center"/>
          </w:tcPr>
          <w:p w14:paraId="76AAC189">
            <w:pPr>
              <w:pStyle w:val="24"/>
              <w:spacing w:after="0" w:line="240" w:lineRule="auto"/>
              <w:ind w:left="0"/>
              <w:rPr>
                <w:rFonts w:ascii="新細明體" w:hAnsi="新細明體"/>
                <w:b/>
                <w:bCs/>
                <w:sz w:val="24"/>
                <w:szCs w:val="24"/>
              </w:rPr>
            </w:pPr>
            <w:r>
              <w:rPr>
                <w:rFonts w:hint="eastAsia" w:ascii="新細明體" w:hAnsi="新細明體"/>
                <w:b/>
                <w:bCs/>
                <w:sz w:val="24"/>
                <w:szCs w:val="24"/>
              </w:rPr>
              <w:t>企業層面：</w:t>
            </w:r>
          </w:p>
        </w:tc>
      </w:tr>
      <w:tr w14:paraId="3669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923" w:type="dxa"/>
            <w:shd w:val="clear" w:color="auto" w:fill="FFFF00"/>
            <w:vAlign w:val="center"/>
          </w:tcPr>
          <w:p w14:paraId="08D6E056">
            <w:pPr>
              <w:pStyle w:val="24"/>
              <w:numPr>
                <w:ilvl w:val="0"/>
                <w:numId w:val="5"/>
              </w:numPr>
              <w:spacing w:after="0" w:line="240" w:lineRule="auto"/>
              <w:ind w:left="306"/>
              <w:jc w:val="both"/>
              <w:rPr>
                <w:rFonts w:ascii="新細明體" w:hAnsi="新細明體"/>
                <w:sz w:val="24"/>
                <w:szCs w:val="24"/>
                <w:highlight w:val="yellow"/>
              </w:rPr>
            </w:pPr>
            <w:r>
              <w:rPr>
                <w:rFonts w:hint="eastAsia" w:ascii="新細明體" w:hAnsi="新細明體"/>
                <w:sz w:val="24"/>
                <w:szCs w:val="24"/>
                <w:highlight w:val="yellow"/>
              </w:rPr>
              <w:t>向每個人提供可負擔和可接入的網絡服務</w:t>
            </w:r>
          </w:p>
        </w:tc>
      </w:tr>
      <w:tr w14:paraId="3CE9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923" w:type="dxa"/>
            <w:shd w:val="clear" w:color="auto" w:fill="FFFF00"/>
            <w:vAlign w:val="center"/>
          </w:tcPr>
          <w:p w14:paraId="0E145411">
            <w:pPr>
              <w:pStyle w:val="24"/>
              <w:numPr>
                <w:ilvl w:val="0"/>
                <w:numId w:val="5"/>
              </w:numPr>
              <w:spacing w:after="0" w:line="240" w:lineRule="auto"/>
              <w:ind w:left="306"/>
              <w:jc w:val="both"/>
              <w:rPr>
                <w:rFonts w:ascii="新細明體" w:hAnsi="新細明體"/>
                <w:sz w:val="24"/>
                <w:szCs w:val="24"/>
                <w:highlight w:val="yellow"/>
              </w:rPr>
            </w:pPr>
            <w:r>
              <w:rPr>
                <w:rFonts w:hint="eastAsia" w:ascii="新細明體" w:hAnsi="新細明體"/>
                <w:sz w:val="24"/>
                <w:szCs w:val="24"/>
                <w:highlight w:val="yellow"/>
              </w:rPr>
              <w:t>尊重及保障人民的私隱及個人數據以建立網絡信任</w:t>
            </w:r>
          </w:p>
        </w:tc>
      </w:tr>
      <w:tr w14:paraId="02C7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923" w:type="dxa"/>
            <w:shd w:val="clear" w:color="auto" w:fill="FFFF00"/>
            <w:vAlign w:val="center"/>
          </w:tcPr>
          <w:p w14:paraId="72174BE7">
            <w:pPr>
              <w:pStyle w:val="24"/>
              <w:numPr>
                <w:ilvl w:val="0"/>
                <w:numId w:val="5"/>
              </w:numPr>
              <w:spacing w:after="0" w:line="240" w:lineRule="auto"/>
              <w:ind w:left="306"/>
              <w:jc w:val="both"/>
              <w:rPr>
                <w:rFonts w:ascii="新細明體" w:hAnsi="新細明體"/>
                <w:sz w:val="24"/>
                <w:szCs w:val="24"/>
                <w:highlight w:val="yellow"/>
              </w:rPr>
            </w:pPr>
            <w:r>
              <w:rPr>
                <w:rFonts w:hint="eastAsia" w:ascii="新細明體" w:hAnsi="新細明體"/>
                <w:sz w:val="24"/>
                <w:szCs w:val="24"/>
                <w:highlight w:val="yellow"/>
              </w:rPr>
              <w:t>開發抑惡揚善的網絡科技</w:t>
            </w:r>
          </w:p>
        </w:tc>
      </w:tr>
      <w:tr w14:paraId="4D4C7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923" w:type="dxa"/>
            <w:shd w:val="clear" w:color="auto" w:fill="FEF2CC" w:themeFill="accent4" w:themeFillTint="33"/>
            <w:vAlign w:val="center"/>
          </w:tcPr>
          <w:p w14:paraId="2BCC079A">
            <w:pPr>
              <w:pStyle w:val="24"/>
              <w:spacing w:after="0" w:line="240" w:lineRule="auto"/>
              <w:ind w:left="0"/>
              <w:rPr>
                <w:rFonts w:ascii="新細明體" w:hAnsi="新細明體"/>
                <w:b/>
                <w:bCs/>
                <w:sz w:val="24"/>
                <w:szCs w:val="24"/>
              </w:rPr>
            </w:pPr>
            <w:r>
              <w:rPr>
                <w:rFonts w:hint="eastAsia" w:ascii="新細明體" w:hAnsi="新細明體"/>
                <w:b/>
                <w:bCs/>
                <w:sz w:val="24"/>
                <w:szCs w:val="24"/>
              </w:rPr>
              <w:t>公民（個人）層面：</w:t>
            </w:r>
          </w:p>
        </w:tc>
      </w:tr>
      <w:tr w14:paraId="58A42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923" w:type="dxa"/>
            <w:shd w:val="clear" w:color="auto" w:fill="FFFF00"/>
            <w:vAlign w:val="center"/>
          </w:tcPr>
          <w:p w14:paraId="54804A02">
            <w:pPr>
              <w:pStyle w:val="24"/>
              <w:numPr>
                <w:ilvl w:val="0"/>
                <w:numId w:val="5"/>
              </w:numPr>
              <w:spacing w:after="0" w:line="240" w:lineRule="auto"/>
              <w:ind w:left="306"/>
              <w:jc w:val="both"/>
              <w:rPr>
                <w:rFonts w:ascii="新細明體" w:hAnsi="新細明體"/>
                <w:sz w:val="24"/>
                <w:szCs w:val="24"/>
                <w:highlight w:val="yellow"/>
              </w:rPr>
            </w:pPr>
            <w:r>
              <w:rPr>
                <w:rFonts w:hint="eastAsia" w:ascii="新細明體" w:hAnsi="新細明體"/>
                <w:sz w:val="24"/>
                <w:szCs w:val="24"/>
                <w:highlight w:val="yellow"/>
              </w:rPr>
              <w:t>肩負創造者和合作者的角色</w:t>
            </w:r>
          </w:p>
        </w:tc>
      </w:tr>
      <w:tr w14:paraId="082F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923" w:type="dxa"/>
            <w:shd w:val="clear" w:color="auto" w:fill="FFFF00"/>
            <w:vAlign w:val="center"/>
          </w:tcPr>
          <w:p w14:paraId="0A5208FE">
            <w:pPr>
              <w:pStyle w:val="24"/>
              <w:numPr>
                <w:ilvl w:val="0"/>
                <w:numId w:val="5"/>
              </w:numPr>
              <w:spacing w:after="0" w:line="240" w:lineRule="auto"/>
              <w:ind w:left="306"/>
              <w:jc w:val="both"/>
              <w:rPr>
                <w:rFonts w:ascii="新細明體" w:hAnsi="新細明體"/>
                <w:sz w:val="24"/>
                <w:szCs w:val="24"/>
                <w:highlight w:val="yellow"/>
              </w:rPr>
            </w:pPr>
            <w:r>
              <w:rPr>
                <w:rFonts w:hint="eastAsia" w:ascii="新細明體" w:hAnsi="新細明體"/>
                <w:sz w:val="24"/>
                <w:szCs w:val="24"/>
                <w:highlight w:val="yellow"/>
              </w:rPr>
              <w:t>建立尊重公共言論和人類尊嚴的強大社區</w:t>
            </w:r>
          </w:p>
        </w:tc>
      </w:tr>
      <w:tr w14:paraId="33BC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923" w:type="dxa"/>
            <w:shd w:val="clear" w:color="auto" w:fill="FFFF00"/>
            <w:vAlign w:val="center"/>
          </w:tcPr>
          <w:p w14:paraId="1E3D60F1">
            <w:pPr>
              <w:pStyle w:val="24"/>
              <w:numPr>
                <w:ilvl w:val="0"/>
                <w:numId w:val="5"/>
              </w:numPr>
              <w:spacing w:after="0" w:line="240" w:lineRule="auto"/>
              <w:ind w:left="306"/>
              <w:jc w:val="both"/>
              <w:rPr>
                <w:rFonts w:ascii="新細明體" w:hAnsi="新細明體"/>
                <w:sz w:val="24"/>
                <w:szCs w:val="24"/>
                <w:highlight w:val="yellow"/>
              </w:rPr>
            </w:pPr>
            <w:r>
              <w:rPr>
                <w:rFonts w:hint="eastAsia" w:ascii="新細明體" w:hAnsi="新細明體"/>
                <w:sz w:val="24"/>
                <w:szCs w:val="24"/>
                <w:highlight w:val="yellow"/>
              </w:rPr>
              <w:t>為互聯網奮鬥</w:t>
            </w:r>
          </w:p>
        </w:tc>
      </w:tr>
      <w:tr w14:paraId="2B68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923" w:type="dxa"/>
            <w:shd w:val="clear" w:color="auto" w:fill="FFFFFF" w:themeFill="background1"/>
            <w:vAlign w:val="center"/>
          </w:tcPr>
          <w:p w14:paraId="2002EDC7">
            <w:pPr>
              <w:pStyle w:val="24"/>
              <w:spacing w:after="0" w:line="240" w:lineRule="auto"/>
              <w:ind w:left="306"/>
              <w:jc w:val="right"/>
              <w:rPr>
                <w:rFonts w:ascii="新細明體" w:hAnsi="新細明體"/>
                <w:i/>
                <w:iCs/>
                <w:color w:val="000000" w:themeColor="text1"/>
                <w:sz w:val="20"/>
                <w:szCs w:val="20"/>
                <w:highlight w:val="yellow"/>
                <w14:textFill>
                  <w14:solidFill>
                    <w14:schemeClr w14:val="tx1"/>
                  </w14:solidFill>
                </w14:textFill>
              </w:rPr>
            </w:pPr>
            <w:r>
              <w:rPr>
                <w:rFonts w:ascii="新細明體" w:hAnsi="新細明體"/>
                <w:i/>
                <w:iCs/>
                <w:color w:val="000000" w:themeColor="text1"/>
                <w14:textFill>
                  <w14:solidFill>
                    <w14:schemeClr w14:val="tx1"/>
                  </w14:solidFill>
                </w14:textFill>
              </w:rPr>
              <w:t>(World Wide Web Foundation, 2020)</w:t>
            </w:r>
            <w:r>
              <w:rPr>
                <w:rFonts w:hint="eastAsia" w:ascii="新細明體" w:hAnsi="新細明體"/>
                <w:i/>
                <w:iCs/>
                <w:color w:val="000000" w:themeColor="text1"/>
                <w14:textFill>
                  <w14:solidFill>
                    <w14:schemeClr w14:val="tx1"/>
                  </w14:solidFill>
                </w14:textFill>
              </w:rPr>
              <w:t>信報</w:t>
            </w:r>
          </w:p>
        </w:tc>
      </w:tr>
    </w:tbl>
    <w:p w14:paraId="7B0D1694">
      <w:pPr>
        <w:pStyle w:val="24"/>
        <w:spacing w:line="240" w:lineRule="auto"/>
        <w:jc w:val="both"/>
        <w:rPr>
          <w:rFonts w:ascii="新細明體" w:hAnsi="新細明體"/>
          <w:sz w:val="24"/>
          <w:szCs w:val="24"/>
        </w:rPr>
      </w:pPr>
    </w:p>
    <w:p w14:paraId="2FCBA005">
      <w:pPr>
        <w:spacing w:line="240" w:lineRule="auto"/>
        <w:jc w:val="both"/>
        <w:rPr>
          <w:rFonts w:ascii="新細明體" w:hAnsi="新細明體"/>
          <w:sz w:val="24"/>
          <w:szCs w:val="24"/>
        </w:rPr>
      </w:pPr>
    </w:p>
    <w:p w14:paraId="3E17713C">
      <w:pPr>
        <w:spacing w:line="240" w:lineRule="auto"/>
        <w:jc w:val="both"/>
        <w:rPr>
          <w:rFonts w:ascii="新細明體" w:hAnsi="新細明體"/>
          <w:sz w:val="24"/>
          <w:szCs w:val="24"/>
        </w:rPr>
      </w:pPr>
    </w:p>
    <w:p w14:paraId="5EAD6F48">
      <w:pPr>
        <w:spacing w:line="240" w:lineRule="auto"/>
        <w:jc w:val="both"/>
        <w:rPr>
          <w:rFonts w:ascii="新細明體" w:hAnsi="新細明體"/>
          <w:sz w:val="24"/>
          <w:szCs w:val="24"/>
        </w:rPr>
      </w:pPr>
    </w:p>
    <w:p w14:paraId="3799DD6B">
      <w:pPr>
        <w:pStyle w:val="24"/>
        <w:spacing w:line="240" w:lineRule="auto"/>
        <w:jc w:val="both"/>
        <w:rPr>
          <w:rFonts w:ascii="新細明體" w:hAnsi="新細明體"/>
          <w:sz w:val="24"/>
          <w:szCs w:val="24"/>
        </w:rPr>
      </w:pPr>
    </w:p>
    <w:p w14:paraId="607A5EAD">
      <w:pPr>
        <w:pStyle w:val="24"/>
        <w:spacing w:line="240" w:lineRule="auto"/>
        <w:jc w:val="both"/>
        <w:rPr>
          <w:rFonts w:ascii="新細明體" w:hAnsi="新細明體"/>
          <w:sz w:val="24"/>
          <w:szCs w:val="24"/>
        </w:rPr>
      </w:pPr>
    </w:p>
    <w:p w14:paraId="62F7EF8A">
      <w:pPr>
        <w:spacing w:line="240" w:lineRule="auto"/>
        <w:jc w:val="center"/>
        <w:rPr>
          <w:rFonts w:ascii="新細明體" w:hAnsi="新細明體"/>
          <w:b/>
          <w:bCs/>
          <w:i/>
          <w:iCs/>
          <w:color w:val="C00000"/>
          <w:sz w:val="24"/>
          <w:szCs w:val="24"/>
        </w:rPr>
      </w:pPr>
      <w:r>
        <w:rPr>
          <w:rFonts w:hint="eastAsia" w:ascii="新細明體" w:hAnsi="新細明體"/>
          <w:b/>
          <w:bCs/>
          <w:i/>
          <w:iCs/>
          <w:color w:val="C00000"/>
          <w:sz w:val="24"/>
          <w:szCs w:val="24"/>
        </w:rPr>
        <w:t>-完-</w:t>
      </w:r>
    </w:p>
    <w:p w14:paraId="7C34AEF3">
      <w:pPr>
        <w:widowControl/>
        <w:spacing w:line="240" w:lineRule="auto"/>
        <w:rPr>
          <w:rFonts w:ascii="新細明體" w:hAnsi="新細明體"/>
          <w:b/>
          <w:bCs/>
          <w:sz w:val="24"/>
          <w:szCs w:val="24"/>
        </w:rPr>
      </w:pPr>
      <w:r>
        <w:rPr>
          <w:rFonts w:ascii="新細明體" w:hAnsi="新細明體"/>
          <w:b/>
          <w:bCs/>
          <w:sz w:val="24"/>
          <w:szCs w:val="24"/>
        </w:rPr>
        <w:br w:type="page"/>
      </w:r>
    </w:p>
    <w:p w14:paraId="21B75A34">
      <w:pPr>
        <w:pStyle w:val="4"/>
        <w:rPr>
          <w:rFonts w:ascii="新細明體" w:hAnsi="新細明體" w:eastAsia="新細明體"/>
          <w:color w:val="000000" w:themeColor="text1"/>
          <w:sz w:val="24"/>
          <w14:textFill>
            <w14:solidFill>
              <w14:schemeClr w14:val="tx1"/>
            </w14:solidFill>
          </w14:textFill>
        </w:rPr>
      </w:pPr>
      <w:bookmarkStart w:id="82" w:name="_Toc27055009"/>
      <w:r>
        <w:rPr>
          <w:rFonts w:hint="eastAsia" w:ascii="新細明體" w:hAnsi="新細明體" w:eastAsia="新細明體"/>
          <w:color w:val="000000" w:themeColor="text1"/>
          <w:sz w:val="24"/>
          <w14:textFill>
            <w14:solidFill>
              <w14:schemeClr w14:val="tx1"/>
            </w14:solidFill>
          </w14:textFill>
        </w:rPr>
        <w:t>參考書目和譯註來源</w:t>
      </w:r>
      <w:bookmarkEnd w:id="82"/>
    </w:p>
    <w:p w14:paraId="208CA294">
      <w:pPr>
        <w:pStyle w:val="19"/>
        <w:ind w:left="720" w:hanging="720"/>
        <w:rPr>
          <w:sz w:val="24"/>
          <w:szCs w:val="24"/>
          <w:lang w:eastAsia="zh-CN"/>
        </w:rPr>
      </w:pPr>
      <w:r>
        <w:rPr>
          <w:rFonts w:ascii="新細明體" w:hAnsi="新細明體"/>
          <w:b/>
          <w:bCs/>
          <w:sz w:val="24"/>
          <w:szCs w:val="24"/>
        </w:rPr>
        <w:fldChar w:fldCharType="begin"/>
      </w:r>
      <w:r>
        <w:rPr>
          <w:rFonts w:ascii="新細明體" w:hAnsi="新細明體"/>
          <w:b/>
          <w:bCs/>
          <w:sz w:val="24"/>
          <w:szCs w:val="24"/>
        </w:rPr>
        <w:instrText xml:space="preserve"> BIBLIOGRAPHY  \l 15369 </w:instrText>
      </w:r>
      <w:r>
        <w:rPr>
          <w:rFonts w:ascii="新細明體" w:hAnsi="新細明體"/>
          <w:b/>
          <w:bCs/>
          <w:sz w:val="24"/>
          <w:szCs w:val="24"/>
        </w:rPr>
        <w:fldChar w:fldCharType="separate"/>
      </w:r>
      <w:r>
        <w:t xml:space="preserve">Almquist, E. (2016, September). The Elements of Value. </w:t>
      </w:r>
      <w:r>
        <w:rPr>
          <w:i/>
          <w:iCs/>
        </w:rPr>
        <w:t>Harvard Business Review</w:t>
      </w:r>
      <w:r>
        <w:t>, pp. 65-73.</w:t>
      </w:r>
    </w:p>
    <w:p w14:paraId="4E45D59E">
      <w:pPr>
        <w:pStyle w:val="19"/>
        <w:ind w:left="720" w:hanging="720"/>
      </w:pPr>
      <w:r>
        <w:t xml:space="preserve">Coles, G. K. (1997). </w:t>
      </w:r>
      <w:r>
        <w:rPr>
          <w:i/>
          <w:iCs/>
        </w:rPr>
        <w:t>Fixing Broken Windows.</w:t>
      </w:r>
      <w:r>
        <w:t xml:space="preserve"> New York: Simon and Schuster.</w:t>
      </w:r>
    </w:p>
    <w:p w14:paraId="6820DDAC">
      <w:pPr>
        <w:pStyle w:val="19"/>
        <w:ind w:left="720" w:hanging="720"/>
      </w:pPr>
      <w:r>
        <w:t xml:space="preserve">Harari, N. (2018). </w:t>
      </w:r>
      <w:r>
        <w:rPr>
          <w:i/>
          <w:iCs/>
        </w:rPr>
        <w:t>21 Lessons for the 21st Century.</w:t>
      </w:r>
      <w:r>
        <w:t xml:space="preserve"> USA: Random House.</w:t>
      </w:r>
    </w:p>
    <w:p w14:paraId="4FE4F011">
      <w:pPr>
        <w:pStyle w:val="19"/>
        <w:ind w:left="720" w:hanging="720"/>
      </w:pPr>
      <w:r>
        <w:t xml:space="preserve">Heberle, R. (2006). </w:t>
      </w:r>
      <w:r>
        <w:rPr>
          <w:i/>
          <w:iCs/>
        </w:rPr>
        <w:t>Social Movements.</w:t>
      </w:r>
      <w:r>
        <w:t xml:space="preserve"> USA: Ardent Media.</w:t>
      </w:r>
    </w:p>
    <w:p w14:paraId="1CDA9B30">
      <w:pPr>
        <w:pStyle w:val="19"/>
        <w:ind w:left="720" w:hanging="720"/>
      </w:pPr>
      <w:r>
        <w:t xml:space="preserve">HKSAR. (2019). </w:t>
      </w:r>
      <w:r>
        <w:rPr>
          <w:i/>
          <w:iCs/>
        </w:rPr>
        <w:t>德育、公民及國民教育.</w:t>
      </w:r>
      <w:r>
        <w:t xml:space="preserve"> Retrieved from 教育局.</w:t>
      </w:r>
    </w:p>
    <w:p w14:paraId="09804035">
      <w:pPr>
        <w:pStyle w:val="19"/>
        <w:ind w:left="720" w:hanging="720"/>
      </w:pPr>
      <w:r>
        <w:t xml:space="preserve">Mouffe, C. (2018). </w:t>
      </w:r>
      <w:r>
        <w:rPr>
          <w:i/>
          <w:iCs/>
        </w:rPr>
        <w:t>For a Left Populism.</w:t>
      </w:r>
      <w:r>
        <w:t xml:space="preserve"> London: Verso Books.</w:t>
      </w:r>
    </w:p>
    <w:p w14:paraId="182BD479">
      <w:pPr>
        <w:pStyle w:val="19"/>
        <w:ind w:left="720" w:hanging="720"/>
      </w:pPr>
      <w:r>
        <w:t xml:space="preserve">Nhan, J. (2019). </w:t>
      </w:r>
      <w:r>
        <w:rPr>
          <w:i/>
          <w:iCs/>
        </w:rPr>
        <w:t>Issues and Controversies in Policing Today.</w:t>
      </w:r>
      <w:r>
        <w:t xml:space="preserve"> USA: Rowman &amp; Littlefield.</w:t>
      </w:r>
    </w:p>
    <w:p w14:paraId="6482E7AB">
      <w:pPr>
        <w:pStyle w:val="19"/>
        <w:ind w:left="720" w:hanging="720"/>
      </w:pPr>
      <w:r>
        <w:t xml:space="preserve">O'Connor, A. (2017). </w:t>
      </w:r>
      <w:r>
        <w:rPr>
          <w:i/>
          <w:iCs/>
        </w:rPr>
        <w:t>The Lucifer Effect.</w:t>
      </w:r>
      <w:r>
        <w:t xml:space="preserve"> USA: CRC Press.</w:t>
      </w:r>
    </w:p>
    <w:p w14:paraId="0CFE706D">
      <w:pPr>
        <w:pStyle w:val="19"/>
        <w:ind w:left="720" w:hanging="720"/>
      </w:pPr>
      <w:r>
        <w:t xml:space="preserve">Pavan, D. d. (2017). </w:t>
      </w:r>
      <w:r>
        <w:rPr>
          <w:i/>
          <w:iCs/>
        </w:rPr>
        <w:t>Repertoires of knowledge practices: social movements in times of crisis.</w:t>
      </w:r>
      <w:r>
        <w:t xml:space="preserve"> United </w:t>
      </w:r>
      <w:bookmarkStart w:id="83" w:name="_GoBack"/>
      <w:bookmarkEnd w:id="83"/>
      <w:r>
        <w:t>Kingdom: Emerald Publishing Limited.</w:t>
      </w:r>
    </w:p>
    <w:p w14:paraId="182BCF41">
      <w:pPr>
        <w:pStyle w:val="19"/>
        <w:ind w:left="720" w:hanging="720"/>
      </w:pPr>
      <w:r>
        <w:t xml:space="preserve">Pennsylvania, W. U. (2018). 產品和服務的情感價值與功能價值孰輕孰重？. </w:t>
      </w:r>
      <w:r>
        <w:rPr>
          <w:i/>
          <w:iCs/>
        </w:rPr>
        <w:t>Wharton Customer Analytics Conference.</w:t>
      </w:r>
      <w:r>
        <w:t xml:space="preserve"> </w:t>
      </w:r>
    </w:p>
    <w:p w14:paraId="63BAB94B">
      <w:pPr>
        <w:pStyle w:val="19"/>
        <w:ind w:left="720" w:hanging="720"/>
      </w:pPr>
      <w:r>
        <w:t xml:space="preserve">Rajan, R. (2020, February). The Third Pillar: How Markets and the State Leave the Community Behind. </w:t>
      </w:r>
      <w:r>
        <w:rPr>
          <w:i/>
          <w:iCs/>
        </w:rPr>
        <w:t>Harvard Business Review</w:t>
      </w:r>
      <w:r>
        <w:t>, p. 26 &amp; 27.</w:t>
      </w:r>
    </w:p>
    <w:p w14:paraId="0D63536E">
      <w:pPr>
        <w:pStyle w:val="19"/>
        <w:ind w:left="720" w:hanging="720"/>
      </w:pPr>
      <w:r>
        <w:t xml:space="preserve">Sundar, S. (2015). Group Polarization. In </w:t>
      </w:r>
      <w:r>
        <w:rPr>
          <w:i/>
          <w:iCs/>
        </w:rPr>
        <w:t>The Handbook of the Psychology of Communication Technology</w:t>
      </w:r>
      <w:r>
        <w:t xml:space="preserve"> (p. 25). USA: John Wiley &amp; Sons.</w:t>
      </w:r>
    </w:p>
    <w:p w14:paraId="36846CFE">
      <w:pPr>
        <w:pStyle w:val="19"/>
        <w:ind w:left="720" w:hanging="720"/>
      </w:pPr>
      <w:r>
        <w:t xml:space="preserve">The Guardian. (2018, 11 20). </w:t>
      </w:r>
      <w:r>
        <w:rPr>
          <w:i/>
          <w:iCs/>
        </w:rPr>
        <w:t>Matthijs Rooduijn</w:t>
      </w:r>
      <w:r>
        <w:t>. Retrieved from Populism: https://twitter.com/mrooduijn/status/1064967664160907264</w:t>
      </w:r>
    </w:p>
    <w:p w14:paraId="1156116F">
      <w:pPr>
        <w:pStyle w:val="19"/>
        <w:ind w:left="720" w:hanging="720"/>
      </w:pPr>
      <w:r>
        <w:t>World Wide Web Foundation. (2020). Retrieved from Contract for the Web: https://contractfortheweb.org/</w:t>
      </w:r>
    </w:p>
    <w:p w14:paraId="2DE79BE7">
      <w:pPr>
        <w:pStyle w:val="19"/>
        <w:ind w:left="720" w:hanging="720"/>
      </w:pPr>
      <w:r>
        <w:t xml:space="preserve">Zimbardo, P. (2007). </w:t>
      </w:r>
      <w:r>
        <w:rPr>
          <w:i/>
          <w:iCs/>
        </w:rPr>
        <w:t>The Lucifer Effect.</w:t>
      </w:r>
      <w:r>
        <w:t xml:space="preserve"> New York: Random House Publishing Group, 2007.</w:t>
      </w:r>
    </w:p>
    <w:p w14:paraId="2954B8D2">
      <w:pPr>
        <w:pStyle w:val="19"/>
        <w:ind w:left="720" w:hanging="720"/>
      </w:pPr>
      <w:r>
        <w:t xml:space="preserve">Zimbardo, P. G. (2008). </w:t>
      </w:r>
      <w:r>
        <w:rPr>
          <w:i/>
          <w:iCs/>
        </w:rPr>
        <w:t>The Lucifer Effect: How Good People Turn Evil.</w:t>
      </w:r>
      <w:r>
        <w:t xml:space="preserve"> USA: Rider.</w:t>
      </w:r>
    </w:p>
    <w:p w14:paraId="32432A34">
      <w:pPr>
        <w:pStyle w:val="19"/>
        <w:ind w:left="720" w:hanging="720"/>
      </w:pPr>
      <w:r>
        <w:t xml:space="preserve">朱維鵬. (2017, 6 21). 香港證券業「全球化」發展的研究. </w:t>
      </w:r>
      <w:r>
        <w:rPr>
          <w:i/>
          <w:iCs/>
        </w:rPr>
        <w:t>中外要聞</w:t>
      </w:r>
      <w:r>
        <w:t>.</w:t>
      </w:r>
    </w:p>
    <w:p w14:paraId="55B6E588">
      <w:pPr>
        <w:pStyle w:val="19"/>
        <w:ind w:left="720" w:hanging="720"/>
      </w:pPr>
      <w:r>
        <w:t xml:space="preserve">孟書強. (2018). “一國兩制”研究. </w:t>
      </w:r>
      <w:r>
        <w:rPr>
          <w:i/>
          <w:iCs/>
        </w:rPr>
        <w:t>新媒體環境下的香港青年政治參與：形式、特徵與影響</w:t>
      </w:r>
      <w:r>
        <w:t>, pp. 121-128.</w:t>
      </w:r>
    </w:p>
    <w:p w14:paraId="649067AC">
      <w:pPr>
        <w:pStyle w:val="19"/>
        <w:ind w:left="720" w:hanging="720"/>
      </w:pPr>
      <w:r>
        <w:t xml:space="preserve">信報. (2019, May 13). </w:t>
      </w:r>
      <w:r>
        <w:rPr>
          <w:i/>
          <w:iCs/>
        </w:rPr>
        <w:t>法國據悉加大對社交媒體監管力度.</w:t>
      </w:r>
      <w:r>
        <w:t xml:space="preserve"> Retrieved from 信報國際財經: https://www2.hkej.com/instantnews/international/article/2135826</w:t>
      </w:r>
    </w:p>
    <w:p w14:paraId="12E62673">
      <w:pPr>
        <w:pStyle w:val="19"/>
        <w:ind w:left="720" w:hanging="720"/>
      </w:pPr>
      <w:r>
        <w:t xml:space="preserve">馬道立. (14 Sept 2019). 三大要素：包容、尊重、妥協. </w:t>
      </w:r>
      <w:r>
        <w:rPr>
          <w:i/>
          <w:iCs/>
        </w:rPr>
        <w:t>教育論壇 2019.</w:t>
      </w:r>
      <w:r>
        <w:t xml:space="preserve"> Hong Kong: 灼見名家.</w:t>
      </w:r>
    </w:p>
    <w:p w14:paraId="225DD203">
      <w:pPr>
        <w:pStyle w:val="19"/>
        <w:ind w:left="720" w:hanging="720"/>
      </w:pPr>
      <w:r>
        <w:t xml:space="preserve">張莉. (2015). </w:t>
      </w:r>
      <w:r>
        <w:rPr>
          <w:i/>
          <w:iCs/>
        </w:rPr>
        <w:t>西欧民主制度的幽灵：右翼民粹主义政党研究.</w:t>
      </w:r>
      <w:r>
        <w:t xml:space="preserve"> 中國: 中央编译局.</w:t>
      </w:r>
    </w:p>
    <w:p w14:paraId="044E7477">
      <w:pPr>
        <w:pStyle w:val="19"/>
        <w:ind w:left="720" w:hanging="720"/>
      </w:pPr>
      <w:r>
        <w:t xml:space="preserve">廉政公署(ICAC). (2011, Sept.). 從 Howard Gardner 的新「領 導 觀」談 起. </w:t>
      </w:r>
      <w:r>
        <w:rPr>
          <w:i/>
          <w:iCs/>
        </w:rPr>
        <w:t>廉政公署德肓期刊</w:t>
      </w:r>
      <w:r>
        <w:t>, p. 9.</w:t>
      </w:r>
    </w:p>
    <w:p w14:paraId="50D6B59F">
      <w:pPr>
        <w:pStyle w:val="19"/>
        <w:ind w:left="720" w:hanging="720"/>
      </w:pPr>
      <w:r>
        <w:t xml:space="preserve">蔡娪嫣. (2018, 11 22). </w:t>
      </w:r>
      <w:r>
        <w:rPr>
          <w:i/>
          <w:iCs/>
        </w:rPr>
        <w:t>歐洲民粹狂潮</w:t>
      </w:r>
      <w:r>
        <w:t>. Retrieved from The Storm Medis: https://www.storm.mg/article/641073</w:t>
      </w:r>
    </w:p>
    <w:p w14:paraId="58027E09">
      <w:pPr>
        <w:pStyle w:val="19"/>
        <w:ind w:left="720" w:hanging="720"/>
      </w:pPr>
      <w:r>
        <w:t xml:space="preserve">顧秋田. (2019, July 24). </w:t>
      </w:r>
      <w:r>
        <w:rPr>
          <w:i/>
          <w:iCs/>
        </w:rPr>
        <w:t>Fact Check 不是一句口號，而是一種思考方式.</w:t>
      </w:r>
      <w:r>
        <w:t xml:space="preserve"> Retrieved from 立場新聞: https://thestandnews.com/politics/fact-check</w:t>
      </w:r>
    </w:p>
    <w:p w14:paraId="7049336E">
      <w:pPr>
        <w:spacing w:line="240" w:lineRule="auto"/>
        <w:rPr>
          <w:rFonts w:ascii="新細明體" w:hAnsi="新細明體"/>
          <w:b/>
          <w:bCs/>
          <w:sz w:val="24"/>
          <w:szCs w:val="24"/>
        </w:rPr>
      </w:pPr>
      <w:r>
        <w:rPr>
          <w:rFonts w:ascii="新細明體" w:hAnsi="新細明體"/>
          <w:b/>
          <w:bCs/>
          <w:sz w:val="24"/>
          <w:szCs w:val="24"/>
        </w:rPr>
        <w:fldChar w:fldCharType="end"/>
      </w:r>
    </w:p>
    <w:p w14:paraId="3D4AE6C7">
      <w:pPr>
        <w:widowControl/>
        <w:spacing w:line="240" w:lineRule="auto"/>
        <w:jc w:val="center"/>
        <w:rPr>
          <w:rFonts w:ascii="新細明體" w:hAnsi="新細明體"/>
          <w:b/>
          <w:bCs/>
          <w:sz w:val="36"/>
          <w:szCs w:val="36"/>
        </w:rPr>
      </w:pPr>
      <w:r>
        <w:rPr>
          <w:rFonts w:hint="eastAsia" w:ascii="新細明體" w:hAnsi="新細明體"/>
          <w:b/>
          <w:bCs/>
          <w:sz w:val="36"/>
          <w:szCs w:val="36"/>
        </w:rPr>
        <w:t>鳴</w:t>
      </w:r>
      <w:r>
        <w:rPr>
          <w:rFonts w:hint="eastAsia" w:ascii="新細明體" w:hAnsi="新細明體"/>
          <w:b/>
          <w:bCs/>
          <w:sz w:val="36"/>
          <w:szCs w:val="36"/>
          <w:lang w:eastAsia="zh-TW"/>
        </w:rPr>
        <w:t xml:space="preserve"> </w:t>
      </w:r>
      <w:r>
        <w:rPr>
          <w:rFonts w:ascii="新細明體" w:hAnsi="新細明體"/>
          <w:b/>
          <w:bCs/>
          <w:sz w:val="36"/>
          <w:szCs w:val="36"/>
          <w:lang w:eastAsia="zh-TW"/>
        </w:rPr>
        <w:t xml:space="preserve"> </w:t>
      </w:r>
      <w:r>
        <w:rPr>
          <w:rFonts w:hint="eastAsia" w:ascii="新細明體" w:hAnsi="新細明體"/>
          <w:b/>
          <w:bCs/>
          <w:sz w:val="36"/>
          <w:szCs w:val="36"/>
        </w:rPr>
        <w:t>謝：</w:t>
      </w:r>
    </w:p>
    <w:p w14:paraId="01BDD53A">
      <w:pPr>
        <w:widowControl/>
        <w:spacing w:line="240" w:lineRule="auto"/>
        <w:jc w:val="center"/>
        <w:rPr>
          <w:rFonts w:ascii="新細明體" w:hAnsi="新細明體"/>
          <w:b/>
          <w:bCs/>
          <w:sz w:val="24"/>
          <w:szCs w:val="24"/>
        </w:rPr>
      </w:pPr>
    </w:p>
    <w:p w14:paraId="7D84235A">
      <w:pPr>
        <w:widowControl/>
        <w:spacing w:line="240" w:lineRule="auto"/>
        <w:rPr>
          <w:rFonts w:ascii="新細明體" w:hAnsi="新細明體"/>
          <w:b/>
          <w:bCs/>
          <w:sz w:val="24"/>
          <w:szCs w:val="24"/>
        </w:rPr>
      </w:pPr>
    </w:p>
    <w:tbl>
      <w:tblPr>
        <w:tblStyle w:val="15"/>
        <w:tblW w:w="10343" w:type="dxa"/>
        <w:tblInd w:w="-7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81"/>
        <w:gridCol w:w="1558"/>
        <w:gridCol w:w="1509"/>
        <w:gridCol w:w="3695"/>
      </w:tblGrid>
      <w:tr w14:paraId="2E997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trPr>
        <w:tc>
          <w:tcPr>
            <w:tcW w:w="5139" w:type="dxa"/>
            <w:gridSpan w:val="2"/>
          </w:tcPr>
          <w:p w14:paraId="63B3931D">
            <w:pPr>
              <w:widowControl/>
              <w:spacing w:after="0" w:line="240" w:lineRule="auto"/>
              <w:rPr>
                <w:rFonts w:ascii="新細明體" w:hAnsi="新細明體"/>
                <w:sz w:val="24"/>
                <w:szCs w:val="24"/>
              </w:rPr>
            </w:pPr>
          </w:p>
          <w:p w14:paraId="319115D0">
            <w:pPr>
              <w:widowControl/>
              <w:spacing w:after="0" w:line="240" w:lineRule="auto"/>
              <w:rPr>
                <w:rFonts w:ascii="新細明體" w:hAnsi="新細明體"/>
                <w:b/>
                <w:bCs/>
                <w:sz w:val="24"/>
                <w:szCs w:val="24"/>
              </w:rPr>
            </w:pPr>
            <w:r>
              <w:rPr>
                <w:rFonts w:ascii="新細明體" w:hAnsi="新細明體"/>
                <w:sz w:val="24"/>
                <w:szCs w:val="24"/>
              </w:rPr>
              <w:drawing>
                <wp:inline distT="0" distB="0" distL="0" distR="0">
                  <wp:extent cx="3171190" cy="542925"/>
                  <wp:effectExtent l="0" t="0" r="0" b="0"/>
                  <wp:docPr id="14" name="圖片 14" descr="new_hksfp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new_hksfpa_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295413" cy="564156"/>
                          </a:xfrm>
                          <a:prstGeom prst="rect">
                            <a:avLst/>
                          </a:prstGeom>
                          <a:noFill/>
                          <a:ln>
                            <a:noFill/>
                          </a:ln>
                        </pic:spPr>
                      </pic:pic>
                    </a:graphicData>
                  </a:graphic>
                </wp:inline>
              </w:drawing>
            </w:r>
          </w:p>
          <w:p w14:paraId="30CD626F">
            <w:pPr>
              <w:widowControl/>
              <w:spacing w:after="0" w:line="240" w:lineRule="auto"/>
              <w:rPr>
                <w:rFonts w:ascii="新細明體" w:hAnsi="新細明體"/>
                <w:b/>
                <w:bCs/>
                <w:sz w:val="24"/>
                <w:szCs w:val="24"/>
              </w:rPr>
            </w:pPr>
          </w:p>
          <w:p w14:paraId="514D2356">
            <w:pPr>
              <w:widowControl/>
              <w:spacing w:after="0" w:line="240" w:lineRule="auto"/>
              <w:rPr>
                <w:rFonts w:ascii="新細明體" w:hAnsi="新細明體"/>
                <w:b/>
                <w:bCs/>
                <w:sz w:val="24"/>
                <w:szCs w:val="24"/>
              </w:rPr>
            </w:pPr>
          </w:p>
        </w:tc>
        <w:tc>
          <w:tcPr>
            <w:tcW w:w="5204" w:type="dxa"/>
            <w:gridSpan w:val="2"/>
          </w:tcPr>
          <w:p w14:paraId="17518CF6">
            <w:pPr>
              <w:widowControl/>
              <w:spacing w:after="0" w:line="240" w:lineRule="auto"/>
              <w:ind w:left="-150"/>
              <w:jc w:val="center"/>
              <w:rPr>
                <w:rFonts w:ascii="新細明體" w:hAnsi="新細明體"/>
                <w:b/>
                <w:bCs/>
                <w:sz w:val="24"/>
                <w:szCs w:val="24"/>
              </w:rPr>
            </w:pPr>
            <w:r>
              <w:rPr>
                <w:rFonts w:hint="eastAsia" w:ascii="新細明體" w:hAnsi="新細明體"/>
                <w:b/>
                <w:bCs/>
                <w:sz w:val="24"/>
                <w:szCs w:val="24"/>
              </w:rPr>
              <w:drawing>
                <wp:inline distT="0" distB="0" distL="0" distR="0">
                  <wp:extent cx="3492500" cy="84772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0751" cy="869081"/>
                          </a:xfrm>
                          <a:prstGeom prst="rect">
                            <a:avLst/>
                          </a:prstGeom>
                        </pic:spPr>
                      </pic:pic>
                    </a:graphicData>
                  </a:graphic>
                </wp:inline>
              </w:drawing>
            </w:r>
          </w:p>
        </w:tc>
      </w:tr>
      <w:tr w14:paraId="4AEAA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8" w:hRule="atLeast"/>
        </w:trPr>
        <w:tc>
          <w:tcPr>
            <w:tcW w:w="3581" w:type="dxa"/>
          </w:tcPr>
          <w:p w14:paraId="0547B869">
            <w:pPr>
              <w:widowControl/>
              <w:spacing w:after="0" w:line="240" w:lineRule="auto"/>
              <w:jc w:val="center"/>
              <w:rPr>
                <w:rFonts w:ascii="新細明體" w:hAnsi="新細明體"/>
                <w:sz w:val="24"/>
                <w:szCs w:val="24"/>
              </w:rPr>
            </w:pPr>
            <w:r>
              <w:rPr>
                <w:rFonts w:ascii="新細明體" w:hAnsi="新細明體"/>
                <w:sz w:val="24"/>
                <w:szCs w:val="24"/>
              </w:rPr>
              <w:drawing>
                <wp:inline distT="0" distB="0" distL="0" distR="0">
                  <wp:extent cx="2221865" cy="1333500"/>
                  <wp:effectExtent l="0" t="0" r="698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a:picLocks noChangeAspect="1"/>
                          </pic:cNvPicPr>
                        </pic:nvPicPr>
                        <pic:blipFill>
                          <a:blip r:embed="rId16"/>
                          <a:stretch>
                            <a:fillRect/>
                          </a:stretch>
                        </pic:blipFill>
                        <pic:spPr>
                          <a:xfrm>
                            <a:off x="0" y="0"/>
                            <a:ext cx="2228941" cy="1337578"/>
                          </a:xfrm>
                          <a:prstGeom prst="rect">
                            <a:avLst/>
                          </a:prstGeom>
                        </pic:spPr>
                      </pic:pic>
                    </a:graphicData>
                  </a:graphic>
                </wp:inline>
              </w:drawing>
            </w:r>
          </w:p>
          <w:p w14:paraId="2105ACE8">
            <w:pPr>
              <w:widowControl/>
              <w:spacing w:after="0" w:line="240" w:lineRule="auto"/>
              <w:jc w:val="center"/>
              <w:rPr>
                <w:rFonts w:ascii="新細明體" w:hAnsi="新細明體"/>
                <w:sz w:val="24"/>
                <w:szCs w:val="24"/>
              </w:rPr>
            </w:pPr>
          </w:p>
          <w:p w14:paraId="4F788610">
            <w:pPr>
              <w:widowControl/>
              <w:spacing w:after="0" w:line="240" w:lineRule="auto"/>
              <w:jc w:val="center"/>
              <w:rPr>
                <w:rFonts w:ascii="新細明體" w:hAnsi="新細明體"/>
                <w:sz w:val="24"/>
                <w:szCs w:val="24"/>
              </w:rPr>
            </w:pPr>
          </w:p>
        </w:tc>
        <w:tc>
          <w:tcPr>
            <w:tcW w:w="3067" w:type="dxa"/>
            <w:gridSpan w:val="2"/>
          </w:tcPr>
          <w:p w14:paraId="0D3FD55A">
            <w:pPr>
              <w:widowControl/>
              <w:spacing w:after="0" w:line="240" w:lineRule="auto"/>
              <w:rPr>
                <w:rFonts w:ascii="新細明體" w:hAnsi="新細明體"/>
                <w:b/>
                <w:bCs/>
                <w:sz w:val="24"/>
                <w:szCs w:val="24"/>
              </w:rPr>
            </w:pPr>
            <w:r>
              <w:rPr>
                <w:rFonts w:hint="eastAsia" w:ascii="新細明體" w:hAnsi="新細明體"/>
                <w:b/>
                <w:bCs/>
                <w:sz w:val="24"/>
                <w:szCs w:val="24"/>
              </w:rPr>
              <w:drawing>
                <wp:inline distT="0" distB="0" distL="0" distR="0">
                  <wp:extent cx="1790700" cy="1938655"/>
                  <wp:effectExtent l="0" t="0" r="0" b="444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2923" cy="1951931"/>
                          </a:xfrm>
                          <a:prstGeom prst="rect">
                            <a:avLst/>
                          </a:prstGeom>
                        </pic:spPr>
                      </pic:pic>
                    </a:graphicData>
                  </a:graphic>
                </wp:inline>
              </w:drawing>
            </w:r>
          </w:p>
        </w:tc>
        <w:tc>
          <w:tcPr>
            <w:tcW w:w="3694" w:type="dxa"/>
          </w:tcPr>
          <w:p w14:paraId="27BB5F11">
            <w:pPr>
              <w:widowControl/>
              <w:spacing w:after="0" w:line="240" w:lineRule="auto"/>
              <w:rPr>
                <w:rFonts w:ascii="新細明體" w:hAnsi="新細明體"/>
                <w:b/>
                <w:bCs/>
                <w:sz w:val="24"/>
                <w:szCs w:val="24"/>
              </w:rPr>
            </w:pPr>
            <w:r>
              <w:rPr>
                <w:rFonts w:hint="eastAsia" w:ascii="新細明體" w:hAnsi="新細明體"/>
                <w:b/>
                <w:bCs/>
                <w:sz w:val="24"/>
                <w:szCs w:val="24"/>
              </w:rPr>
              <w:drawing>
                <wp:inline distT="0" distB="0" distL="0" distR="0">
                  <wp:extent cx="2047875" cy="170053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2321" cy="1704431"/>
                          </a:xfrm>
                          <a:prstGeom prst="rect">
                            <a:avLst/>
                          </a:prstGeom>
                        </pic:spPr>
                      </pic:pic>
                    </a:graphicData>
                  </a:graphic>
                </wp:inline>
              </w:drawing>
            </w:r>
          </w:p>
          <w:p w14:paraId="20E1D1F0">
            <w:pPr>
              <w:widowControl/>
              <w:spacing w:after="0" w:line="240" w:lineRule="auto"/>
              <w:rPr>
                <w:rFonts w:ascii="新細明體" w:hAnsi="新細明體"/>
                <w:b/>
                <w:bCs/>
                <w:sz w:val="24"/>
                <w:szCs w:val="24"/>
              </w:rPr>
            </w:pPr>
          </w:p>
          <w:p w14:paraId="2F7E85D7">
            <w:pPr>
              <w:widowControl/>
              <w:spacing w:after="0" w:line="240" w:lineRule="auto"/>
              <w:rPr>
                <w:rFonts w:ascii="新細明體" w:hAnsi="新細明體"/>
                <w:b/>
                <w:bCs/>
                <w:sz w:val="24"/>
                <w:szCs w:val="24"/>
              </w:rPr>
            </w:pPr>
          </w:p>
          <w:p w14:paraId="64E89D62">
            <w:pPr>
              <w:widowControl/>
              <w:spacing w:after="0" w:line="240" w:lineRule="auto"/>
              <w:rPr>
                <w:rFonts w:ascii="新細明體" w:hAnsi="新細明體"/>
                <w:b/>
                <w:bCs/>
                <w:sz w:val="24"/>
                <w:szCs w:val="24"/>
              </w:rPr>
            </w:pPr>
          </w:p>
        </w:tc>
      </w:tr>
      <w:tr w14:paraId="77276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1" w:hRule="atLeast"/>
        </w:trPr>
        <w:tc>
          <w:tcPr>
            <w:tcW w:w="3581" w:type="dxa"/>
          </w:tcPr>
          <w:p w14:paraId="15441CC6">
            <w:pPr>
              <w:widowControl/>
              <w:spacing w:after="0" w:line="240" w:lineRule="auto"/>
              <w:jc w:val="center"/>
              <w:rPr>
                <w:rFonts w:ascii="新細明體" w:hAnsi="新細明體"/>
                <w:b/>
                <w:bCs/>
                <w:sz w:val="24"/>
                <w:szCs w:val="24"/>
              </w:rPr>
            </w:pPr>
            <w:r>
              <w:rPr>
                <w:rFonts w:ascii="新細明體" w:hAnsi="新細明體"/>
                <w:sz w:val="24"/>
                <w:szCs w:val="24"/>
              </w:rPr>
              <w:drawing>
                <wp:inline distT="0" distB="0" distL="0" distR="0">
                  <wp:extent cx="2168525" cy="1533525"/>
                  <wp:effectExtent l="0" t="0" r="317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192680" cy="1550187"/>
                          </a:xfrm>
                          <a:prstGeom prst="rect">
                            <a:avLst/>
                          </a:prstGeom>
                          <a:noFill/>
                          <a:ln>
                            <a:noFill/>
                          </a:ln>
                        </pic:spPr>
                      </pic:pic>
                    </a:graphicData>
                  </a:graphic>
                </wp:inline>
              </w:drawing>
            </w:r>
          </w:p>
        </w:tc>
        <w:tc>
          <w:tcPr>
            <w:tcW w:w="3067" w:type="dxa"/>
            <w:gridSpan w:val="2"/>
          </w:tcPr>
          <w:p w14:paraId="711082A3">
            <w:pPr>
              <w:widowControl/>
              <w:spacing w:after="0" w:line="240" w:lineRule="auto"/>
              <w:jc w:val="center"/>
              <w:rPr>
                <w:rFonts w:ascii="新細明體" w:hAnsi="新細明體"/>
                <w:b/>
                <w:bCs/>
                <w:sz w:val="24"/>
                <w:szCs w:val="24"/>
              </w:rPr>
            </w:pPr>
            <w:r>
              <w:rPr>
                <w:rFonts w:ascii="新細明體" w:hAnsi="新細明體"/>
                <w:b/>
                <w:bCs/>
                <w:sz w:val="24"/>
                <w:szCs w:val="24"/>
              </w:rPr>
              <w:drawing>
                <wp:inline distT="0" distB="0" distL="0" distR="0">
                  <wp:extent cx="1783080" cy="2226310"/>
                  <wp:effectExtent l="0" t="0" r="7620" b="254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85217" cy="2229304"/>
                          </a:xfrm>
                          <a:prstGeom prst="rect">
                            <a:avLst/>
                          </a:prstGeom>
                          <a:noFill/>
                          <a:ln>
                            <a:noFill/>
                          </a:ln>
                        </pic:spPr>
                      </pic:pic>
                    </a:graphicData>
                  </a:graphic>
                </wp:inline>
              </w:drawing>
            </w:r>
          </w:p>
        </w:tc>
        <w:tc>
          <w:tcPr>
            <w:tcW w:w="3694" w:type="dxa"/>
          </w:tcPr>
          <w:p w14:paraId="37F29A9D">
            <w:pPr>
              <w:widowControl/>
              <w:spacing w:after="0" w:line="240" w:lineRule="auto"/>
              <w:rPr>
                <w:rFonts w:ascii="新細明體" w:hAnsi="新細明體"/>
                <w:b/>
                <w:bCs/>
                <w:sz w:val="24"/>
                <w:szCs w:val="24"/>
              </w:rPr>
            </w:pPr>
          </w:p>
          <w:p w14:paraId="7F94F610">
            <w:pPr>
              <w:widowControl/>
              <w:spacing w:after="0" w:line="240" w:lineRule="auto"/>
              <w:jc w:val="center"/>
              <w:rPr>
                <w:rFonts w:ascii="新細明體" w:hAnsi="新細明體"/>
                <w:b/>
                <w:bCs/>
                <w:sz w:val="24"/>
                <w:szCs w:val="24"/>
              </w:rPr>
            </w:pPr>
            <w:r>
              <w:drawing>
                <wp:inline distT="0" distB="0" distL="0" distR="0">
                  <wp:extent cx="1876425" cy="63690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pic:cNvPicPr>
                        </pic:nvPicPr>
                        <pic:blipFill>
                          <a:blip r:embed="rId21"/>
                          <a:stretch>
                            <a:fillRect/>
                          </a:stretch>
                        </pic:blipFill>
                        <pic:spPr>
                          <a:xfrm>
                            <a:off x="0" y="0"/>
                            <a:ext cx="1876425" cy="637359"/>
                          </a:xfrm>
                          <a:prstGeom prst="rect">
                            <a:avLst/>
                          </a:prstGeom>
                        </pic:spPr>
                      </pic:pic>
                    </a:graphicData>
                  </a:graphic>
                </wp:inline>
              </w:drawing>
            </w:r>
          </w:p>
          <w:p w14:paraId="69E38D9C">
            <w:pPr>
              <w:widowControl/>
              <w:spacing w:after="0" w:line="240" w:lineRule="auto"/>
              <w:jc w:val="center"/>
              <w:rPr>
                <w:rFonts w:ascii="新細明體" w:hAnsi="新細明體"/>
                <w:b/>
                <w:bCs/>
                <w:sz w:val="24"/>
                <w:szCs w:val="24"/>
              </w:rPr>
            </w:pPr>
          </w:p>
          <w:p w14:paraId="781EB48B">
            <w:pPr>
              <w:widowControl/>
              <w:spacing w:after="0" w:line="240" w:lineRule="auto"/>
              <w:jc w:val="center"/>
              <w:rPr>
                <w:rFonts w:ascii="新細明體" w:hAnsi="新細明體"/>
                <w:b/>
                <w:bCs/>
                <w:sz w:val="24"/>
                <w:szCs w:val="24"/>
              </w:rPr>
            </w:pPr>
            <w:r>
              <w:rPr>
                <w:rFonts w:hint="eastAsia" w:ascii="新細明體" w:hAnsi="新細明體"/>
                <w:b/>
                <w:bCs/>
                <w:sz w:val="24"/>
                <w:szCs w:val="24"/>
              </w:rPr>
              <w:drawing>
                <wp:inline distT="0" distB="0" distL="0" distR="0">
                  <wp:extent cx="2058035" cy="84074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087414" cy="852835"/>
                          </a:xfrm>
                          <a:prstGeom prst="rect">
                            <a:avLst/>
                          </a:prstGeom>
                        </pic:spPr>
                      </pic:pic>
                    </a:graphicData>
                  </a:graphic>
                </wp:inline>
              </w:drawing>
            </w:r>
          </w:p>
          <w:p w14:paraId="1C0EB190">
            <w:pPr>
              <w:widowControl/>
              <w:spacing w:after="0" w:line="240" w:lineRule="auto"/>
              <w:jc w:val="center"/>
              <w:rPr>
                <w:rFonts w:ascii="新細明體" w:hAnsi="新細明體"/>
                <w:b/>
                <w:bCs/>
                <w:sz w:val="24"/>
                <w:szCs w:val="24"/>
              </w:rPr>
            </w:pPr>
          </w:p>
          <w:p w14:paraId="21709596">
            <w:pPr>
              <w:widowControl/>
              <w:spacing w:after="0" w:line="240" w:lineRule="auto"/>
              <w:jc w:val="center"/>
              <w:rPr>
                <w:rFonts w:ascii="新細明體" w:hAnsi="新細明體"/>
                <w:b/>
                <w:bCs/>
                <w:sz w:val="24"/>
                <w:szCs w:val="24"/>
              </w:rPr>
            </w:pPr>
            <w:r>
              <w:rPr>
                <w:rFonts w:ascii="新細明體" w:hAnsi="新細明體"/>
                <w:sz w:val="24"/>
                <w:szCs w:val="24"/>
              </w:rPr>
              <w:drawing>
                <wp:inline distT="0" distB="0" distL="0" distR="0">
                  <wp:extent cx="2047875" cy="695325"/>
                  <wp:effectExtent l="0" t="0" r="9525"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052658" cy="696949"/>
                          </a:xfrm>
                          <a:prstGeom prst="rect">
                            <a:avLst/>
                          </a:prstGeom>
                          <a:noFill/>
                          <a:ln>
                            <a:noFill/>
                          </a:ln>
                        </pic:spPr>
                      </pic:pic>
                    </a:graphicData>
                  </a:graphic>
                </wp:inline>
              </w:drawing>
            </w:r>
          </w:p>
        </w:tc>
      </w:tr>
    </w:tbl>
    <w:p w14:paraId="568F4EB8">
      <w:pPr>
        <w:widowControl/>
        <w:spacing w:line="240" w:lineRule="auto"/>
        <w:rPr>
          <w:rFonts w:ascii="新細明體" w:hAnsi="新細明體"/>
          <w:b/>
          <w:bCs/>
          <w:sz w:val="24"/>
          <w:szCs w:val="24"/>
        </w:rPr>
      </w:pPr>
    </w:p>
    <w:p w14:paraId="763729C8">
      <w:pPr>
        <w:spacing w:line="240" w:lineRule="auto"/>
        <w:rPr>
          <w:rFonts w:ascii="新細明體" w:hAnsi="新細明體"/>
          <w:sz w:val="24"/>
          <w:szCs w:val="24"/>
        </w:rPr>
      </w:pPr>
    </w:p>
    <w:sectPr>
      <w:footerReference r:id="rId5" w:type="default"/>
      <w:pgSz w:w="11906" w:h="16838"/>
      <w:pgMar w:top="993" w:right="1440" w:bottom="709" w:left="1440" w:header="851" w:footer="389" w:gutter="0"/>
      <w:pgBorders w:offsetFrom="page">
        <w:top w:val="single" w:color="auto" w:sz="4" w:space="24"/>
        <w:left w:val="single" w:color="auto" w:sz="4" w:space="24"/>
        <w:bottom w:val="single" w:color="auto" w:sz="4" w:space="24"/>
        <w:right w:val="single" w:color="auto" w:sz="4" w:space="24"/>
      </w:pgBorders>
      <w:cols w:space="425"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新細明體">
    <w:panose1 w:val="02020500000000000000"/>
    <w:charset w:val="88"/>
    <w:family w:val="roman"/>
    <w:pitch w:val="default"/>
    <w:sig w:usb0="A00002FF" w:usb1="28CFFCFA" w:usb2="00000016" w:usb3="00000000" w:csb0="00100001"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swiss"/>
    <w:pitch w:val="default"/>
    <w:sig w:usb0="80000287" w:usb1="2ACF3C50" w:usb2="00000016" w:usb3="00000000" w:csb0="0004001F" w:csb1="00000000"/>
  </w:font>
  <w:font w:name="Arial Unicode MS">
    <w:altName w:val="Arial"/>
    <w:panose1 w:val="020B0604020202020204"/>
    <w:charset w:val="88"/>
    <w:family w:val="swiss"/>
    <w:pitch w:val="default"/>
    <w:sig w:usb0="00000000" w:usb1="00000000" w:usb2="0000003F" w:usb3="00000000" w:csb0="003F01F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05201731"/>
      <w:docPartObj>
        <w:docPartGallery w:val="autotext"/>
      </w:docPartObj>
    </w:sdtPr>
    <w:sdtEndPr>
      <w:rPr>
        <w:color w:val="808080" w:themeColor="background1" w:themeShade="80"/>
        <w:spacing w:val="60"/>
      </w:rPr>
    </w:sdtEndPr>
    <w:sdtContent>
      <w:p w14:paraId="4F0A67B8">
        <w:pPr>
          <w:pStyle w:val="9"/>
          <w:pBdr>
            <w:top w:val="single" w:color="D8D8D8" w:themeColor="background1" w:themeShade="D9" w:sz="4" w:space="1"/>
          </w:pBdr>
          <w:jc w:val="right"/>
        </w:pPr>
        <w:r>
          <w:fldChar w:fldCharType="begin"/>
        </w:r>
        <w:r>
          <w:instrText xml:space="preserve"> PAGE   \* MERGEFORMAT </w:instrText>
        </w:r>
        <w:r>
          <w:fldChar w:fldCharType="separate"/>
        </w:r>
        <w:r>
          <w:t>2</w:t>
        </w:r>
        <w:r>
          <w:fldChar w:fldCharType="end"/>
        </w:r>
        <w:r>
          <w:t xml:space="preserve"> | </w:t>
        </w:r>
        <w:r>
          <w:rPr>
            <w:color w:val="808080" w:themeColor="background1" w:themeShade="80"/>
            <w:spacing w:val="60"/>
          </w:rPr>
          <w:t>Page</w:t>
        </w:r>
      </w:p>
    </w:sdtContent>
  </w:sdt>
  <w:p w14:paraId="25D8D9F7">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827E58"/>
    <w:multiLevelType w:val="multilevel"/>
    <w:tmpl w:val="09827E5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985432A"/>
    <w:multiLevelType w:val="multilevel"/>
    <w:tmpl w:val="1985432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7D96F30"/>
    <w:multiLevelType w:val="multilevel"/>
    <w:tmpl w:val="27D96F3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56E14966"/>
    <w:multiLevelType w:val="multilevel"/>
    <w:tmpl w:val="56E1496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6D867FCB"/>
    <w:multiLevelType w:val="multilevel"/>
    <w:tmpl w:val="6D867FC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hideGrammatical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MxNTUyMzGwsDQytjBT0lEKTi0uzszPAykwtawFALrbxzYtAAAA"/>
  </w:docVars>
  <w:rsids>
    <w:rsidRoot w:val="00ED3DB9"/>
    <w:rsid w:val="00002D9B"/>
    <w:rsid w:val="000255E0"/>
    <w:rsid w:val="000273EC"/>
    <w:rsid w:val="00027C89"/>
    <w:rsid w:val="0003682B"/>
    <w:rsid w:val="00051ADC"/>
    <w:rsid w:val="000527EA"/>
    <w:rsid w:val="00053900"/>
    <w:rsid w:val="000561C2"/>
    <w:rsid w:val="00060EA8"/>
    <w:rsid w:val="00060F5F"/>
    <w:rsid w:val="00070CCF"/>
    <w:rsid w:val="000832A6"/>
    <w:rsid w:val="00086A51"/>
    <w:rsid w:val="00087BC3"/>
    <w:rsid w:val="00092CE3"/>
    <w:rsid w:val="00095635"/>
    <w:rsid w:val="000A7B58"/>
    <w:rsid w:val="000B05D4"/>
    <w:rsid w:val="000B0E73"/>
    <w:rsid w:val="000B48AD"/>
    <w:rsid w:val="000B70B1"/>
    <w:rsid w:val="000B7ECC"/>
    <w:rsid w:val="000C1599"/>
    <w:rsid w:val="000D12AB"/>
    <w:rsid w:val="000E0AB3"/>
    <w:rsid w:val="000F232A"/>
    <w:rsid w:val="001014CE"/>
    <w:rsid w:val="001057CE"/>
    <w:rsid w:val="00110986"/>
    <w:rsid w:val="00112CB7"/>
    <w:rsid w:val="00121FE5"/>
    <w:rsid w:val="00123C68"/>
    <w:rsid w:val="00145FB4"/>
    <w:rsid w:val="001834A4"/>
    <w:rsid w:val="00185482"/>
    <w:rsid w:val="00190E37"/>
    <w:rsid w:val="00193E7E"/>
    <w:rsid w:val="001A1085"/>
    <w:rsid w:val="001A71CC"/>
    <w:rsid w:val="001A72AA"/>
    <w:rsid w:val="001B48F0"/>
    <w:rsid w:val="001C1F6A"/>
    <w:rsid w:val="001C68DA"/>
    <w:rsid w:val="001C73FE"/>
    <w:rsid w:val="001C7894"/>
    <w:rsid w:val="001D5E0E"/>
    <w:rsid w:val="001D6073"/>
    <w:rsid w:val="001E1C75"/>
    <w:rsid w:val="001E4E47"/>
    <w:rsid w:val="002066E0"/>
    <w:rsid w:val="002209F7"/>
    <w:rsid w:val="00223EA1"/>
    <w:rsid w:val="0024719F"/>
    <w:rsid w:val="00286E85"/>
    <w:rsid w:val="00287618"/>
    <w:rsid w:val="00291960"/>
    <w:rsid w:val="002A256E"/>
    <w:rsid w:val="002B509B"/>
    <w:rsid w:val="002C46BD"/>
    <w:rsid w:val="002D04EF"/>
    <w:rsid w:val="002D5397"/>
    <w:rsid w:val="002E359D"/>
    <w:rsid w:val="00306589"/>
    <w:rsid w:val="003076A6"/>
    <w:rsid w:val="00346CBF"/>
    <w:rsid w:val="00352125"/>
    <w:rsid w:val="00354D20"/>
    <w:rsid w:val="00367A85"/>
    <w:rsid w:val="003747B3"/>
    <w:rsid w:val="00390861"/>
    <w:rsid w:val="00397051"/>
    <w:rsid w:val="003A16F6"/>
    <w:rsid w:val="003C050C"/>
    <w:rsid w:val="003C0552"/>
    <w:rsid w:val="003C1921"/>
    <w:rsid w:val="003D1EE7"/>
    <w:rsid w:val="00401C66"/>
    <w:rsid w:val="0040335A"/>
    <w:rsid w:val="004075F0"/>
    <w:rsid w:val="00407E60"/>
    <w:rsid w:val="004135FB"/>
    <w:rsid w:val="00422DFD"/>
    <w:rsid w:val="004354CE"/>
    <w:rsid w:val="00470484"/>
    <w:rsid w:val="00482DA9"/>
    <w:rsid w:val="004A0067"/>
    <w:rsid w:val="004B082C"/>
    <w:rsid w:val="004B4FB3"/>
    <w:rsid w:val="004C448C"/>
    <w:rsid w:val="004D34C7"/>
    <w:rsid w:val="004D6694"/>
    <w:rsid w:val="004E2360"/>
    <w:rsid w:val="004E3C3A"/>
    <w:rsid w:val="004E70D4"/>
    <w:rsid w:val="00511320"/>
    <w:rsid w:val="00521526"/>
    <w:rsid w:val="00522000"/>
    <w:rsid w:val="005303AD"/>
    <w:rsid w:val="00532446"/>
    <w:rsid w:val="005344D5"/>
    <w:rsid w:val="00534E4E"/>
    <w:rsid w:val="00546C5F"/>
    <w:rsid w:val="00561911"/>
    <w:rsid w:val="00566DCC"/>
    <w:rsid w:val="00567B00"/>
    <w:rsid w:val="005B02D7"/>
    <w:rsid w:val="005B327A"/>
    <w:rsid w:val="005B72A0"/>
    <w:rsid w:val="005C4495"/>
    <w:rsid w:val="005D2441"/>
    <w:rsid w:val="005D391F"/>
    <w:rsid w:val="005E1118"/>
    <w:rsid w:val="005F207D"/>
    <w:rsid w:val="005F29F1"/>
    <w:rsid w:val="005F2FE1"/>
    <w:rsid w:val="00614015"/>
    <w:rsid w:val="00622FF5"/>
    <w:rsid w:val="00634972"/>
    <w:rsid w:val="006422E2"/>
    <w:rsid w:val="00645C0C"/>
    <w:rsid w:val="006478E8"/>
    <w:rsid w:val="00657725"/>
    <w:rsid w:val="0067346E"/>
    <w:rsid w:val="0068619B"/>
    <w:rsid w:val="00690024"/>
    <w:rsid w:val="0069019A"/>
    <w:rsid w:val="006A07C0"/>
    <w:rsid w:val="006A73C7"/>
    <w:rsid w:val="006B0437"/>
    <w:rsid w:val="006B1AD4"/>
    <w:rsid w:val="006C42C3"/>
    <w:rsid w:val="006D6652"/>
    <w:rsid w:val="006F0800"/>
    <w:rsid w:val="006F6B97"/>
    <w:rsid w:val="007007BC"/>
    <w:rsid w:val="00701D40"/>
    <w:rsid w:val="00710356"/>
    <w:rsid w:val="00710F74"/>
    <w:rsid w:val="00714836"/>
    <w:rsid w:val="007208CC"/>
    <w:rsid w:val="00735E62"/>
    <w:rsid w:val="00736D8A"/>
    <w:rsid w:val="007449BB"/>
    <w:rsid w:val="00755F5F"/>
    <w:rsid w:val="00756D68"/>
    <w:rsid w:val="00757DC4"/>
    <w:rsid w:val="00764FBA"/>
    <w:rsid w:val="00766E92"/>
    <w:rsid w:val="007679A4"/>
    <w:rsid w:val="00775300"/>
    <w:rsid w:val="00782FA7"/>
    <w:rsid w:val="007B4B71"/>
    <w:rsid w:val="007B61FD"/>
    <w:rsid w:val="007C4368"/>
    <w:rsid w:val="007D6F12"/>
    <w:rsid w:val="007E156F"/>
    <w:rsid w:val="007E2150"/>
    <w:rsid w:val="007E603F"/>
    <w:rsid w:val="007E7526"/>
    <w:rsid w:val="007F04EB"/>
    <w:rsid w:val="007F6301"/>
    <w:rsid w:val="00803E86"/>
    <w:rsid w:val="00804188"/>
    <w:rsid w:val="00804AF4"/>
    <w:rsid w:val="00821C73"/>
    <w:rsid w:val="00823443"/>
    <w:rsid w:val="008254FC"/>
    <w:rsid w:val="008258BE"/>
    <w:rsid w:val="008438B8"/>
    <w:rsid w:val="00847C43"/>
    <w:rsid w:val="008514EB"/>
    <w:rsid w:val="00855093"/>
    <w:rsid w:val="008556CC"/>
    <w:rsid w:val="008575F3"/>
    <w:rsid w:val="0086425D"/>
    <w:rsid w:val="00873FDF"/>
    <w:rsid w:val="008814C5"/>
    <w:rsid w:val="008A1D3E"/>
    <w:rsid w:val="008A2F63"/>
    <w:rsid w:val="008A51E2"/>
    <w:rsid w:val="008A6778"/>
    <w:rsid w:val="008A7D31"/>
    <w:rsid w:val="008B1BCF"/>
    <w:rsid w:val="008B489F"/>
    <w:rsid w:val="008B78CD"/>
    <w:rsid w:val="008C07D4"/>
    <w:rsid w:val="008C2311"/>
    <w:rsid w:val="008C415F"/>
    <w:rsid w:val="008C50DC"/>
    <w:rsid w:val="008E1B13"/>
    <w:rsid w:val="008E6DA9"/>
    <w:rsid w:val="008F4481"/>
    <w:rsid w:val="008F49DC"/>
    <w:rsid w:val="00907586"/>
    <w:rsid w:val="00910D57"/>
    <w:rsid w:val="009129EF"/>
    <w:rsid w:val="009240BA"/>
    <w:rsid w:val="009275C0"/>
    <w:rsid w:val="009368D4"/>
    <w:rsid w:val="00937A3A"/>
    <w:rsid w:val="00975CA3"/>
    <w:rsid w:val="00986BB5"/>
    <w:rsid w:val="00995723"/>
    <w:rsid w:val="009B0228"/>
    <w:rsid w:val="009B1505"/>
    <w:rsid w:val="009B3E4D"/>
    <w:rsid w:val="009C6421"/>
    <w:rsid w:val="009C6B4D"/>
    <w:rsid w:val="009D5FDB"/>
    <w:rsid w:val="009F2960"/>
    <w:rsid w:val="00A067DB"/>
    <w:rsid w:val="00A128B1"/>
    <w:rsid w:val="00A13ADB"/>
    <w:rsid w:val="00A15763"/>
    <w:rsid w:val="00A15DB9"/>
    <w:rsid w:val="00A206A0"/>
    <w:rsid w:val="00A247B4"/>
    <w:rsid w:val="00A300DC"/>
    <w:rsid w:val="00A3255D"/>
    <w:rsid w:val="00A37E58"/>
    <w:rsid w:val="00A46122"/>
    <w:rsid w:val="00A4770A"/>
    <w:rsid w:val="00A73B55"/>
    <w:rsid w:val="00A75882"/>
    <w:rsid w:val="00A829D3"/>
    <w:rsid w:val="00A93E12"/>
    <w:rsid w:val="00A94E78"/>
    <w:rsid w:val="00AA38B0"/>
    <w:rsid w:val="00AA3ACA"/>
    <w:rsid w:val="00AA621A"/>
    <w:rsid w:val="00AB07DB"/>
    <w:rsid w:val="00AB5336"/>
    <w:rsid w:val="00AC53BA"/>
    <w:rsid w:val="00AD4C48"/>
    <w:rsid w:val="00AD543E"/>
    <w:rsid w:val="00AE32CE"/>
    <w:rsid w:val="00AE42AF"/>
    <w:rsid w:val="00AF43E6"/>
    <w:rsid w:val="00B01112"/>
    <w:rsid w:val="00B02359"/>
    <w:rsid w:val="00B100D3"/>
    <w:rsid w:val="00B247B7"/>
    <w:rsid w:val="00B30971"/>
    <w:rsid w:val="00B53DF0"/>
    <w:rsid w:val="00B66B2D"/>
    <w:rsid w:val="00B7108E"/>
    <w:rsid w:val="00B86E7C"/>
    <w:rsid w:val="00B95203"/>
    <w:rsid w:val="00B95974"/>
    <w:rsid w:val="00BC32F9"/>
    <w:rsid w:val="00BC4CCB"/>
    <w:rsid w:val="00BD2F32"/>
    <w:rsid w:val="00BD5D9A"/>
    <w:rsid w:val="00BE0750"/>
    <w:rsid w:val="00BF4F27"/>
    <w:rsid w:val="00BF62E9"/>
    <w:rsid w:val="00C14BAC"/>
    <w:rsid w:val="00C24F37"/>
    <w:rsid w:val="00C25966"/>
    <w:rsid w:val="00C312C9"/>
    <w:rsid w:val="00C3305A"/>
    <w:rsid w:val="00C34749"/>
    <w:rsid w:val="00C35929"/>
    <w:rsid w:val="00C35F18"/>
    <w:rsid w:val="00C42FD9"/>
    <w:rsid w:val="00C50726"/>
    <w:rsid w:val="00C52A4B"/>
    <w:rsid w:val="00C61676"/>
    <w:rsid w:val="00C6777E"/>
    <w:rsid w:val="00C8016D"/>
    <w:rsid w:val="00C81A0A"/>
    <w:rsid w:val="00C85C1B"/>
    <w:rsid w:val="00C94C36"/>
    <w:rsid w:val="00CB6A15"/>
    <w:rsid w:val="00CB7638"/>
    <w:rsid w:val="00CE5DBA"/>
    <w:rsid w:val="00CF11D0"/>
    <w:rsid w:val="00CF2E3D"/>
    <w:rsid w:val="00D03DC7"/>
    <w:rsid w:val="00D06F1B"/>
    <w:rsid w:val="00D07341"/>
    <w:rsid w:val="00D10F0D"/>
    <w:rsid w:val="00D12139"/>
    <w:rsid w:val="00D17DED"/>
    <w:rsid w:val="00D310AA"/>
    <w:rsid w:val="00D33A07"/>
    <w:rsid w:val="00D55D9D"/>
    <w:rsid w:val="00D72310"/>
    <w:rsid w:val="00D72AE0"/>
    <w:rsid w:val="00D739AA"/>
    <w:rsid w:val="00D81DEE"/>
    <w:rsid w:val="00DA5247"/>
    <w:rsid w:val="00DB0324"/>
    <w:rsid w:val="00DB0B1A"/>
    <w:rsid w:val="00DC0AC7"/>
    <w:rsid w:val="00DD4467"/>
    <w:rsid w:val="00E04781"/>
    <w:rsid w:val="00E06DAA"/>
    <w:rsid w:val="00E16307"/>
    <w:rsid w:val="00E22D9B"/>
    <w:rsid w:val="00E2302B"/>
    <w:rsid w:val="00E30602"/>
    <w:rsid w:val="00E433A5"/>
    <w:rsid w:val="00E45BA9"/>
    <w:rsid w:val="00E465AD"/>
    <w:rsid w:val="00E55297"/>
    <w:rsid w:val="00E649FE"/>
    <w:rsid w:val="00E663B2"/>
    <w:rsid w:val="00E6737E"/>
    <w:rsid w:val="00E7065A"/>
    <w:rsid w:val="00E74FD9"/>
    <w:rsid w:val="00E80286"/>
    <w:rsid w:val="00E91190"/>
    <w:rsid w:val="00E914E5"/>
    <w:rsid w:val="00E9367B"/>
    <w:rsid w:val="00E937ED"/>
    <w:rsid w:val="00E954AD"/>
    <w:rsid w:val="00E955A1"/>
    <w:rsid w:val="00EC5272"/>
    <w:rsid w:val="00ED3DB9"/>
    <w:rsid w:val="00ED6545"/>
    <w:rsid w:val="00EF3416"/>
    <w:rsid w:val="00F0260D"/>
    <w:rsid w:val="00F037C3"/>
    <w:rsid w:val="00F07D11"/>
    <w:rsid w:val="00F10611"/>
    <w:rsid w:val="00F1099B"/>
    <w:rsid w:val="00F2287A"/>
    <w:rsid w:val="00F2530C"/>
    <w:rsid w:val="00F26D8D"/>
    <w:rsid w:val="00F361E6"/>
    <w:rsid w:val="00F4719D"/>
    <w:rsid w:val="00F5189C"/>
    <w:rsid w:val="00F64D5E"/>
    <w:rsid w:val="00F65722"/>
    <w:rsid w:val="00F66749"/>
    <w:rsid w:val="00F7000A"/>
    <w:rsid w:val="00F71944"/>
    <w:rsid w:val="00F74884"/>
    <w:rsid w:val="00F76B2B"/>
    <w:rsid w:val="00F9081A"/>
    <w:rsid w:val="00FC4904"/>
    <w:rsid w:val="00FC528D"/>
    <w:rsid w:val="00FC783F"/>
    <w:rsid w:val="00FD10AB"/>
    <w:rsid w:val="00FD4F6F"/>
    <w:rsid w:val="00FD72FC"/>
    <w:rsid w:val="00FE4137"/>
    <w:rsid w:val="00FE69E6"/>
    <w:rsid w:val="00FF282C"/>
    <w:rsid w:val="45851E4C"/>
    <w:rsid w:val="6E941B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imes New Roman" w:eastAsia="新細明體"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pPr>
    <w:rPr>
      <w:rFonts w:hAnsi="Times New Roman" w:eastAsia="新細明體" w:cs="Times New Roman" w:asciiTheme="minorHAnsi"/>
      <w:sz w:val="22"/>
      <w:szCs w:val="22"/>
      <w:lang w:val="zh-CN" w:eastAsia="zh-HK" w:bidi="ar-SA"/>
    </w:rPr>
  </w:style>
  <w:style w:type="paragraph" w:styleId="2">
    <w:name w:val="heading 1"/>
    <w:basedOn w:val="1"/>
    <w:next w:val="1"/>
    <w:link w:val="25"/>
    <w:qFormat/>
    <w:uiPriority w:val="9"/>
    <w:pPr>
      <w:keepNext/>
      <w:keepLines/>
      <w:spacing w:before="240" w:after="0"/>
      <w:outlineLvl w:val="0"/>
    </w:pPr>
    <w:rPr>
      <w:rFonts w:asciiTheme="majorHAnsi" w:hAnsiTheme="majorHAnsi" w:eastAsiaTheme="majorEastAsia" w:cstheme="majorBidi"/>
      <w:b/>
      <w:color w:val="2F5597" w:themeColor="accent1" w:themeShade="BF"/>
      <w:sz w:val="36"/>
      <w:szCs w:val="32"/>
    </w:rPr>
  </w:style>
  <w:style w:type="paragraph" w:styleId="3">
    <w:name w:val="heading 2"/>
    <w:basedOn w:val="1"/>
    <w:next w:val="1"/>
    <w:link w:val="26"/>
    <w:unhideWhenUsed/>
    <w:qFormat/>
    <w:uiPriority w:val="9"/>
    <w:pPr>
      <w:keepNext/>
      <w:keepLines/>
      <w:spacing w:before="240" w:after="240" w:line="240" w:lineRule="auto"/>
      <w:outlineLvl w:val="1"/>
    </w:pPr>
    <w:rPr>
      <w:rFonts w:asciiTheme="majorEastAsia" w:hAnsiTheme="majorEastAsia" w:eastAsiaTheme="majorEastAsia" w:cstheme="majorBidi"/>
      <w:b/>
      <w:color w:val="2F5597" w:themeColor="accent1" w:themeShade="BF"/>
      <w:sz w:val="32"/>
      <w:szCs w:val="26"/>
    </w:rPr>
  </w:style>
  <w:style w:type="paragraph" w:styleId="4">
    <w:name w:val="heading 3"/>
    <w:basedOn w:val="1"/>
    <w:next w:val="1"/>
    <w:link w:val="27"/>
    <w:unhideWhenUsed/>
    <w:qFormat/>
    <w:uiPriority w:val="9"/>
    <w:pPr>
      <w:keepNext/>
      <w:keepLines/>
      <w:spacing w:before="240" w:after="240" w:line="240" w:lineRule="auto"/>
      <w:outlineLvl w:val="2"/>
    </w:pPr>
    <w:rPr>
      <w:rFonts w:asciiTheme="majorHAnsi" w:hAnsiTheme="majorHAnsi" w:eastAsiaTheme="majorEastAsia" w:cstheme="majorBidi"/>
      <w:b/>
      <w:color w:val="2F5597" w:themeColor="accent1" w:themeShade="BF"/>
      <w:sz w:val="28"/>
      <w:szCs w:val="24"/>
    </w:rPr>
  </w:style>
  <w:style w:type="paragraph" w:styleId="5">
    <w:name w:val="heading 4"/>
    <w:basedOn w:val="1"/>
    <w:next w:val="1"/>
    <w:link w:val="28"/>
    <w:unhideWhenUsed/>
    <w:qFormat/>
    <w:uiPriority w:val="9"/>
    <w:pPr>
      <w:keepNext/>
      <w:keepLines/>
      <w:spacing w:before="240" w:after="240" w:line="240" w:lineRule="auto"/>
      <w:outlineLvl w:val="3"/>
    </w:pPr>
    <w:rPr>
      <w:rFonts w:asciiTheme="majorHAnsi" w:hAnsiTheme="majorHAnsi" w:eastAsiaTheme="majorEastAsia" w:cstheme="majorBidi"/>
      <w:b/>
      <w:iCs/>
      <w:color w:val="2F5597" w:themeColor="accent1" w:themeShade="BF"/>
      <w:sz w:val="28"/>
    </w:rPr>
  </w:style>
  <w:style w:type="character" w:default="1" w:styleId="6">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Balloon Text"/>
    <w:basedOn w:val="1"/>
    <w:link w:val="21"/>
    <w:semiHidden/>
    <w:unhideWhenUsed/>
    <w:uiPriority w:val="99"/>
    <w:pPr>
      <w:spacing w:after="0" w:line="240" w:lineRule="auto"/>
    </w:pPr>
    <w:rPr>
      <w:rFonts w:ascii="Segoe UI" w:hAnsi="Segoe UI" w:cs="Segoe UI"/>
      <w:sz w:val="18"/>
      <w:szCs w:val="18"/>
    </w:rPr>
  </w:style>
  <w:style w:type="paragraph" w:styleId="9">
    <w:name w:val="footer"/>
    <w:basedOn w:val="1"/>
    <w:link w:val="23"/>
    <w:unhideWhenUsed/>
    <w:uiPriority w:val="99"/>
    <w:pPr>
      <w:tabs>
        <w:tab w:val="center" w:pos="4153"/>
        <w:tab w:val="right" w:pos="8306"/>
      </w:tabs>
      <w:spacing w:after="0" w:line="240" w:lineRule="auto"/>
    </w:pPr>
  </w:style>
  <w:style w:type="character" w:styleId="10">
    <w:name w:val="footnote reference"/>
    <w:basedOn w:val="6"/>
    <w:semiHidden/>
    <w:unhideWhenUsed/>
    <w:qFormat/>
    <w:uiPriority w:val="99"/>
    <w:rPr>
      <w:vertAlign w:val="superscript"/>
    </w:rPr>
  </w:style>
  <w:style w:type="paragraph" w:styleId="11">
    <w:name w:val="footnote text"/>
    <w:basedOn w:val="1"/>
    <w:link w:val="20"/>
    <w:semiHidden/>
    <w:unhideWhenUsed/>
    <w:qFormat/>
    <w:uiPriority w:val="99"/>
    <w:pPr>
      <w:spacing w:after="0" w:line="240" w:lineRule="auto"/>
    </w:pPr>
    <w:rPr>
      <w:sz w:val="20"/>
      <w:szCs w:val="20"/>
    </w:rPr>
  </w:style>
  <w:style w:type="paragraph" w:styleId="12">
    <w:name w:val="header"/>
    <w:basedOn w:val="1"/>
    <w:link w:val="22"/>
    <w:unhideWhenUsed/>
    <w:uiPriority w:val="99"/>
    <w:pPr>
      <w:tabs>
        <w:tab w:val="center" w:pos="4153"/>
        <w:tab w:val="right" w:pos="8306"/>
      </w:tabs>
      <w:spacing w:after="0" w:line="240" w:lineRule="auto"/>
    </w:pPr>
  </w:style>
  <w:style w:type="character" w:styleId="13">
    <w:name w:val="Hyperlink"/>
    <w:basedOn w:val="6"/>
    <w:unhideWhenUsed/>
    <w:uiPriority w:val="99"/>
    <w:rPr>
      <w:color w:val="0563C1" w:themeColor="hyperlink"/>
      <w:u w:val="single"/>
      <w14:textFill>
        <w14:solidFill>
          <w14:schemeClr w14:val="hlink"/>
        </w14:solidFill>
      </w14:textFill>
    </w:rPr>
  </w:style>
  <w:style w:type="paragraph" w:styleId="14">
    <w:name w:val="Normal (Web)"/>
    <w:basedOn w:val="1"/>
    <w:semiHidden/>
    <w:unhideWhenUsed/>
    <w:uiPriority w:val="99"/>
    <w:pPr>
      <w:widowControl/>
      <w:spacing w:before="100" w:beforeAutospacing="1" w:after="100" w:afterAutospacing="1" w:line="240" w:lineRule="auto"/>
    </w:pPr>
    <w:rPr>
      <w:rFonts w:ascii="Times New Roman" w:eastAsia="Times New Roman"/>
      <w:sz w:val="24"/>
      <w:szCs w:val="24"/>
      <w:lang w:eastAsia="zh-CN"/>
    </w:rPr>
  </w:style>
  <w:style w:type="table" w:styleId="15">
    <w:name w:val="Table Grid"/>
    <w:basedOn w:val="7"/>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6">
    <w:name w:val="toc 1"/>
    <w:basedOn w:val="1"/>
    <w:next w:val="1"/>
    <w:autoRedefine/>
    <w:unhideWhenUsed/>
    <w:uiPriority w:val="39"/>
    <w:pPr>
      <w:spacing w:after="100"/>
    </w:pPr>
  </w:style>
  <w:style w:type="paragraph" w:styleId="17">
    <w:name w:val="toc 2"/>
    <w:basedOn w:val="1"/>
    <w:next w:val="1"/>
    <w:autoRedefine/>
    <w:unhideWhenUsed/>
    <w:uiPriority w:val="39"/>
    <w:pPr>
      <w:spacing w:after="100"/>
      <w:ind w:left="220"/>
    </w:pPr>
  </w:style>
  <w:style w:type="paragraph" w:styleId="18">
    <w:name w:val="toc 3"/>
    <w:basedOn w:val="1"/>
    <w:next w:val="1"/>
    <w:autoRedefine/>
    <w:unhideWhenUsed/>
    <w:uiPriority w:val="39"/>
    <w:pPr>
      <w:spacing w:after="100"/>
      <w:ind w:left="440"/>
    </w:pPr>
  </w:style>
  <w:style w:type="paragraph" w:customStyle="1" w:styleId="19">
    <w:name w:val="Bibliography"/>
    <w:basedOn w:val="1"/>
    <w:next w:val="1"/>
    <w:unhideWhenUsed/>
    <w:uiPriority w:val="37"/>
  </w:style>
  <w:style w:type="character" w:customStyle="1" w:styleId="20">
    <w:name w:val="Footnote Text Char"/>
    <w:basedOn w:val="6"/>
    <w:link w:val="11"/>
    <w:semiHidden/>
    <w:qFormat/>
    <w:uiPriority w:val="99"/>
    <w:rPr>
      <w:sz w:val="20"/>
      <w:szCs w:val="20"/>
    </w:rPr>
  </w:style>
  <w:style w:type="character" w:customStyle="1" w:styleId="21">
    <w:name w:val="Balloon Text Char"/>
    <w:basedOn w:val="6"/>
    <w:link w:val="8"/>
    <w:semiHidden/>
    <w:qFormat/>
    <w:uiPriority w:val="99"/>
    <w:rPr>
      <w:rFonts w:ascii="Segoe UI" w:hAnsi="Segoe UI" w:cs="Segoe UI"/>
      <w:sz w:val="18"/>
      <w:szCs w:val="18"/>
    </w:rPr>
  </w:style>
  <w:style w:type="character" w:customStyle="1" w:styleId="22">
    <w:name w:val="Header Char"/>
    <w:basedOn w:val="6"/>
    <w:link w:val="12"/>
    <w:qFormat/>
    <w:uiPriority w:val="99"/>
  </w:style>
  <w:style w:type="character" w:customStyle="1" w:styleId="23">
    <w:name w:val="Footer Char"/>
    <w:basedOn w:val="6"/>
    <w:link w:val="9"/>
    <w:uiPriority w:val="99"/>
  </w:style>
  <w:style w:type="paragraph" w:styleId="24">
    <w:name w:val="List Paragraph"/>
    <w:basedOn w:val="1"/>
    <w:qFormat/>
    <w:uiPriority w:val="34"/>
    <w:pPr>
      <w:ind w:left="720"/>
      <w:contextualSpacing/>
    </w:pPr>
  </w:style>
  <w:style w:type="character" w:customStyle="1" w:styleId="25">
    <w:name w:val="Heading 1 Char"/>
    <w:basedOn w:val="6"/>
    <w:link w:val="2"/>
    <w:uiPriority w:val="9"/>
    <w:rPr>
      <w:rFonts w:asciiTheme="majorHAnsi" w:hAnsiTheme="majorHAnsi" w:eastAsiaTheme="majorEastAsia" w:cstheme="majorBidi"/>
      <w:b/>
      <w:color w:val="2F5597" w:themeColor="accent1" w:themeShade="BF"/>
      <w:sz w:val="36"/>
      <w:szCs w:val="32"/>
    </w:rPr>
  </w:style>
  <w:style w:type="character" w:customStyle="1" w:styleId="26">
    <w:name w:val="Heading 2 Char"/>
    <w:basedOn w:val="6"/>
    <w:link w:val="3"/>
    <w:uiPriority w:val="9"/>
    <w:rPr>
      <w:rFonts w:asciiTheme="majorEastAsia" w:hAnsiTheme="majorEastAsia" w:eastAsiaTheme="majorEastAsia" w:cstheme="majorBidi"/>
      <w:b/>
      <w:color w:val="2F5597" w:themeColor="accent1" w:themeShade="BF"/>
      <w:sz w:val="32"/>
      <w:szCs w:val="26"/>
    </w:rPr>
  </w:style>
  <w:style w:type="character" w:customStyle="1" w:styleId="27">
    <w:name w:val="Heading 3 Char"/>
    <w:basedOn w:val="6"/>
    <w:link w:val="4"/>
    <w:uiPriority w:val="9"/>
    <w:rPr>
      <w:rFonts w:asciiTheme="majorHAnsi" w:hAnsiTheme="majorHAnsi" w:eastAsiaTheme="majorEastAsia" w:cstheme="majorBidi"/>
      <w:b/>
      <w:color w:val="2F5597" w:themeColor="accent1" w:themeShade="BF"/>
      <w:sz w:val="28"/>
      <w:szCs w:val="24"/>
    </w:rPr>
  </w:style>
  <w:style w:type="character" w:customStyle="1" w:styleId="28">
    <w:name w:val="Heading 4 Char"/>
    <w:basedOn w:val="6"/>
    <w:link w:val="5"/>
    <w:uiPriority w:val="9"/>
    <w:rPr>
      <w:rFonts w:asciiTheme="majorHAnsi" w:hAnsiTheme="majorHAnsi" w:eastAsiaTheme="majorEastAsia" w:cstheme="majorBidi"/>
      <w:b/>
      <w:iCs/>
      <w:color w:val="2F5597" w:themeColor="accent1" w:themeShade="BF"/>
      <w:sz w:val="28"/>
    </w:rPr>
  </w:style>
  <w:style w:type="paragraph" w:customStyle="1" w:styleId="29">
    <w:name w:val="TOC Heading"/>
    <w:basedOn w:val="2"/>
    <w:next w:val="1"/>
    <w:unhideWhenUsed/>
    <w:qFormat/>
    <w:uiPriority w:val="39"/>
    <w:pPr>
      <w:widowControl/>
      <w:outlineLvl w:val="9"/>
    </w:pPr>
    <w:rPr>
      <w:b w:val="0"/>
      <w:sz w:val="32"/>
      <w:lang w:eastAsia="zh-CN"/>
    </w:rPr>
  </w:style>
  <w:style w:type="character" w:customStyle="1" w:styleId="30">
    <w:name w:val="notranslate"/>
    <w:basedOn w:val="6"/>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Joh19</b:Tag>
    <b:SourceType>Book</b:SourceType>
    <b:Guid>{19235D47-594B-4488-B344-E9E9ABD46395}</b:Guid>
    <b:Author>
      <b:Author>
        <b:NameList>
          <b:Person>
            <b:Last>Nhan</b:Last>
            <b:First>Johnny</b:First>
          </b:Person>
        </b:NameList>
      </b:Author>
    </b:Author>
    <b:Title>Issues and Controversies in Policing Today</b:Title>
    <b:Year>2019</b:Year>
    <b:City>USA</b:City>
    <b:Publisher>Rowman &amp; Littlefield</b:Publisher>
    <b:RefOrder>2</b:RefOrder>
  </b:Source>
  <b:Source>
    <b:Tag>Phi08</b:Tag>
    <b:SourceType>Book</b:SourceType>
    <b:Guid>{5F13AE32-E26E-47ED-9F98-FEA9C470C8F9}</b:Guid>
    <b:Author>
      <b:Author>
        <b:NameList>
          <b:Person>
            <b:Last>Zimbardo</b:Last>
            <b:First>Philip</b:First>
            <b:Middle>G</b:Middle>
          </b:Person>
        </b:NameList>
      </b:Author>
    </b:Author>
    <b:Title>The Lucifer Effect: How Good People Turn Evil</b:Title>
    <b:Year>2008</b:Year>
    <b:City>USA</b:City>
    <b:Publisher>Rider</b:Publisher>
    <b:RefOrder>3</b:RefOrder>
  </b:Source>
  <b:Source>
    <b:Tag>Geo97</b:Tag>
    <b:SourceType>Book</b:SourceType>
    <b:Guid>{E25DFD0B-E13C-4B04-8D29-E10F47ED54D2}</b:Guid>
    <b:Author>
      <b:Author>
        <b:NameList>
          <b:Person>
            <b:Last>Coles</b:Last>
            <b:First>George</b:First>
            <b:Middle>Kelling &amp; Catherine</b:Middle>
          </b:Person>
        </b:NameList>
      </b:Author>
    </b:Author>
    <b:Title>Fixing Broken Windows</b:Title>
    <b:Year>1997</b:Year>
    <b:City>New York</b:City>
    <b:Publisher>Simon and Schuster</b:Publisher>
    <b:RefOrder>4</b:RefOrder>
  </b:Source>
  <b:Source>
    <b:Tag>Noa18</b:Tag>
    <b:SourceType>Book</b:SourceType>
    <b:Guid>{C041EED1-B15E-481E-9991-9E2D8D407CA0}</b:Guid>
    <b:Author>
      <b:Author>
        <b:NameList>
          <b:Person>
            <b:Last>Harari</b:Last>
            <b:First>Noah</b:First>
          </b:Person>
        </b:NameList>
      </b:Author>
    </b:Author>
    <b:Title>21 Lessons for the 21st Century</b:Title>
    <b:Year>2018</b:Year>
    <b:City>USA</b:City>
    <b:Publisher>Random House</b:Publisher>
    <b:RefOrder>5</b:RefOrder>
  </b:Source>
  <b:Source>
    <b:Tag>Wha18</b:Tag>
    <b:SourceType>ConferenceProceedings</b:SourceType>
    <b:Guid>{6371D274-23CD-4054-96A6-87B1ECE72E80}</b:Guid>
    <b:Title>產品和服務的情感價值與功能價值孰輕孰重？</b:Title>
    <b:Year>2018</b:Year>
    <b:Author>
      <b:Author>
        <b:NameList>
          <b:Person>
            <b:Last>Pennsylvania</b:Last>
            <b:First>Wharton</b:First>
            <b:Middle>University of</b:Middle>
          </b:Person>
        </b:NameList>
      </b:Author>
    </b:Author>
    <b:ConferenceName>Wharton Customer Analytics Conference</b:ConferenceName>
    <b:RefOrder>10</b:RefOrder>
  </b:Source>
  <b:Source>
    <b:Tag>Eri161</b:Tag>
    <b:SourceType>ArticleInAPeriodical</b:SourceType>
    <b:Guid>{6556539E-BF64-4A16-808A-01DE38BB988C}</b:Guid>
    <b:Title>The Elements of Value</b:Title>
    <b:Pages>65-73</b:Pages>
    <b:Year>2016</b:Year>
    <b:Author>
      <b:Author>
        <b:NameList>
          <b:Person>
            <b:Last>Almquist</b:Last>
            <b:First>Eric</b:First>
          </b:Person>
        </b:NameList>
      </b:Author>
    </b:Author>
    <b:PeriodicalTitle>Harvard Business Review</b:PeriodicalTitle>
    <b:Month>September</b:Month>
    <b:RefOrder>11</b:RefOrder>
  </b:Source>
  <b:Source>
    <b:Tag>孟書強18</b:Tag>
    <b:SourceType>ArticleInAPeriodical</b:SourceType>
    <b:Guid>{4D569B5C-7195-492D-AE57-1E51E2196D70}</b:Guid>
    <b:Title>“一國兩制”研究</b:Title>
    <b:PeriodicalTitle>新媒體環境下的香港青年政治參與：形式、特徵與影響</b:PeriodicalTitle>
    <b:Year>2018</b:Year>
    <b:Pages>121-128</b:Pages>
    <b:Author>
      <b:Author>
        <b:NameList>
          <b:Person>
            <b:Last>孟書強</b:Last>
          </b:Person>
        </b:NameList>
      </b:Author>
    </b:Author>
    <b:Publisher>國務院港澳事務辦公室港澳研究所</b:Publisher>
    <b:City>Hong Kong</b:City>
    <b:RefOrder>7</b:RefOrder>
  </b:Source>
  <b:Source>
    <b:Tag>顧秋田19</b:Tag>
    <b:SourceType>DocumentFromInternetSite</b:SourceType>
    <b:Guid>{F725A7C9-CBDA-425B-84E3-F5628F5A0EF3}</b:Guid>
    <b:Title>Fact Check 不是一句口號，而是一種思考方式</b:Title>
    <b:Year>2019</b:Year>
    <b:Month>July</b:Month>
    <b:Day>24</b:Day>
    <b:Author>
      <b:Author>
        <b:NameList>
          <b:Person>
            <b:Last>顧秋田</b:Last>
          </b:Person>
        </b:NameList>
      </b:Author>
    </b:Author>
    <b:InternetSiteTitle>立場新聞</b:InternetSiteTitle>
    <b:URL>https://thestandnews.com/politics/fact-check%E4%B8%8D%E6%98%AF%E4%B8%80%E5%8F%A5%E5%8F%A3%E8%99%9F-%E8%80%8C%E6%98%AF%E4%B8%80%E7%A8%AE%E6%80%9D%E8%80%83%E6%96%B9%E5%BC%8F/</b:URL>
    <b:RefOrder>9</b:RefOrder>
  </b:Source>
  <b:Source>
    <b:Tag>三大要19</b:Tag>
    <b:SourceType>ConferenceProceedings</b:SourceType>
    <b:Guid>{11DE0A5D-1D79-4848-AB13-329FECC199F1}</b:Guid>
    <b:Title>三大要素：包容、尊重、妥協</b:Title>
    <b:Year>14 Sept 2019</b:Year>
    <b:ConferenceName>教育論壇 2019</b:ConferenceName>
    <b:City>Hong Kong</b:City>
    <b:Publisher>灼見名家</b:Publisher>
    <b:Author>
      <b:Author>
        <b:NameList>
          <b:Person>
            <b:Last>馬道立</b:Last>
          </b:Person>
        </b:NameList>
      </b:Author>
    </b:Author>
    <b:RefOrder>16</b:RefOrder>
  </b:Source>
  <b:Source>
    <b:Tag>信報19</b:Tag>
    <b:SourceType>DocumentFromInternetSite</b:SourceType>
    <b:Guid>{FCAD26DC-7E6B-45E7-BDA4-409C48FF363C}</b:Guid>
    <b:Title>法國據悉加大對社交媒體監管力度</b:Title>
    <b:Year>2019</b:Year>
    <b:Author>
      <b:Author>
        <b:Corporate>信報</b:Corporate>
      </b:Author>
    </b:Author>
    <b:InternetSiteTitle>信報國際財經</b:InternetSiteTitle>
    <b:Month>May</b:Month>
    <b:Day>13</b:Day>
    <b:URL>https://www2.hkej.com/instantnews/international/article/2135826</b:URL>
    <b:RefOrder>19</b:RefOrder>
  </b:Source>
  <b:Source>
    <b:Tag>廉政公11</b:Tag>
    <b:SourceType>ArticleInAPeriodical</b:SourceType>
    <b:Guid>{3D01EEC3-96BE-4BA9-86E0-00EC1937AE4C}</b:Guid>
    <b:Title>從 Howard Gardner 的新「領 導 觀」談 起</b:Title>
    <b:Year>2011</b:Year>
    <b:Month>Sept.</b:Month>
    <b:Author>
      <b:Author>
        <b:Corporate>廉政公署(ICAC)</b:Corporate>
      </b:Author>
    </b:Author>
    <b:PeriodicalTitle>廉政公署德肓期刊</b:PeriodicalTitle>
    <b:Pages>9</b:Pages>
    <b:RefOrder>20</b:RefOrder>
  </b:Source>
  <b:Source>
    <b:Tag>AOC17</b:Tag>
    <b:SourceType>Book</b:SourceType>
    <b:Guid>{D5335B6D-422C-40CF-96C7-9E668AE8C5CF}</b:Guid>
    <b:Title>The  Lucifer Effect</b:Title>
    <b:Year>2017</b:Year>
    <b:Author>
      <b:Author>
        <b:NameList>
          <b:Person>
            <b:Last>O'Connor</b:Last>
            <b:First>A.</b:First>
          </b:Person>
        </b:NameList>
      </b:Author>
    </b:Author>
    <b:City>USA</b:City>
    <b:Publisher>CRC Press</b:Publisher>
    <b:RefOrder>21</b:RefOrder>
  </b:Source>
  <b:Source>
    <b:Tag>The19</b:Tag>
    <b:SourceType>DocumentFromInternetSite</b:SourceType>
    <b:Guid>{93FBD27E-71EA-4AB0-A4E3-A21DC24C1949}</b:Guid>
    <b:Author>
      <b:Author>
        <b:Corporate>HKSAR</b:Corporate>
      </b:Author>
    </b:Author>
    <b:Title>德育、公民及國民教育</b:Title>
    <b:InternetSiteTitle>教育局</b:InternetSiteTitle>
    <b:Year>2019</b:Year>
    <b:RefOrder>15</b:RefOrder>
  </b:Source>
  <b:Source>
    <b:Tag>PZi07</b:Tag>
    <b:SourceType>Book</b:SourceType>
    <b:Guid>{583AB20C-305F-492F-9A96-50A75CA1C4AB}</b:Guid>
    <b:Author>
      <b:Author>
        <b:NameList>
          <b:Person>
            <b:Last>Zimbardo</b:Last>
            <b:First>P</b:First>
          </b:Person>
        </b:NameList>
      </b:Author>
    </b:Author>
    <b:Title>The Lucifer Effect</b:Title>
    <b:Year>2007</b:Year>
    <b:City>New York</b:City>
    <b:Publisher>Random House Publishing Group, 2007</b:Publisher>
    <b:RefOrder>22</b:RefOrder>
  </b:Source>
  <b:Source>
    <b:Tag>蔡娪嫣18</b:Tag>
    <b:SourceType>InternetSite</b:SourceType>
    <b:Guid>{9A8FF9CF-9C7D-4D53-B2BB-87BA2B0018D8}</b:Guid>
    <b:Title>歐洲民粹狂潮</b:Title>
    <b:Year>2018</b:Year>
    <b:Author>
      <b:Author>
        <b:NameList>
          <b:Person>
            <b:Last>蔡娪嫣</b:Last>
          </b:Person>
        </b:NameList>
      </b:Author>
    </b:Author>
    <b:InternetSiteTitle>The Storm Medis</b:InternetSiteTitle>
    <b:Month>11</b:Month>
    <b:Day>22</b:Day>
    <b:URL>https://www.storm.mg/article/641073</b:URL>
    <b:RefOrder>12</b:RefOrder>
  </b:Source>
  <b:Source>
    <b:Tag>The18</b:Tag>
    <b:SourceType>InternetSite</b:SourceType>
    <b:Guid>{00FC5F15-3A23-4C6F-AC94-7AB94E4BF555}</b:Guid>
    <b:Author>
      <b:Author>
        <b:Corporate>The Guardian</b:Corporate>
      </b:Author>
    </b:Author>
    <b:Title>Matthijs Rooduijn</b:Title>
    <b:InternetSiteTitle>Populism</b:InternetSiteTitle>
    <b:Year>2018</b:Year>
    <b:Month>11</b:Month>
    <b:Day>20</b:Day>
    <b:URL>https://twitter.com/mrooduijn/status/1064967664160907264</b:URL>
    <b:RefOrder>18</b:RefOrder>
  </b:Source>
  <b:Source>
    <b:Tag>張莉15</b:Tag>
    <b:SourceType>Book</b:SourceType>
    <b:Guid>{A0CA9089-7F72-4096-8388-11822F1530E2}</b:Guid>
    <b:Title>西欧民主制度的幽灵：右翼民粹主义政党研究</b:Title>
    <b:Year>2015</b:Year>
    <b:Author>
      <b:Author>
        <b:NameList>
          <b:Person>
            <b:Last>張莉</b:Last>
          </b:Person>
        </b:NameList>
      </b:Author>
    </b:Author>
    <b:City>中國</b:City>
    <b:Publisher>中央编译局</b:Publisher>
    <b:RefOrder>13</b:RefOrder>
  </b:Source>
  <b:Source>
    <b:Tag>Cha18</b:Tag>
    <b:SourceType>Book</b:SourceType>
    <b:Guid>{7371ADD8-715A-4289-B508-CA6CF14438C2}</b:Guid>
    <b:Author>
      <b:Author>
        <b:NameList>
          <b:Person>
            <b:Last>Mouffe</b:Last>
            <b:First>Chantal</b:First>
          </b:Person>
        </b:NameList>
      </b:Author>
    </b:Author>
    <b:Title>For a Left Populism</b:Title>
    <b:Year>2018</b:Year>
    <b:City>London</b:City>
    <b:Publisher>Verso Books</b:Publisher>
    <b:RefOrder>14</b:RefOrder>
  </b:Source>
  <b:Source>
    <b:Tag>Shy15</b:Tag>
    <b:SourceType>BookSection</b:SourceType>
    <b:Guid>{18D1BBC3-7BDC-4733-95F5-EC2E574FECEA}</b:Guid>
    <b:Title>Group Polarization</b:Title>
    <b:Year>2015</b:Year>
    <b:City>USA</b:City>
    <b:Publisher>John Wiley &amp; Sons</b:Publisher>
    <b:Author>
      <b:Author>
        <b:NameList>
          <b:Person>
            <b:Last>Sundar</b:Last>
            <b:First>Shyam</b:First>
          </b:Person>
        </b:NameList>
      </b:Author>
    </b:Author>
    <b:BookTitle>The Handbook of the Psychology of Communication Techonology</b:BookTitle>
    <b:Pages>25</b:Pages>
    <b:RefOrder>23</b:RefOrder>
  </b:Source>
  <b:Source>
    <b:Tag>Heb06</b:Tag>
    <b:SourceType>Book</b:SourceType>
    <b:Guid>{81D882B1-2595-4BCC-9B3E-799E1DA27549}</b:Guid>
    <b:Author>
      <b:Author>
        <b:NameList>
          <b:Person>
            <b:Last>Heberle</b:Last>
            <b:First>Rudolf</b:First>
          </b:Person>
        </b:NameList>
      </b:Author>
    </b:Author>
    <b:Title>Social Movements</b:Title>
    <b:Year>2006</b:Year>
    <b:City>USA</b:City>
    <b:Publisher>Ardent Media</b:Publisher>
    <b:RefOrder>24</b:RefOrder>
  </b:Source>
  <b:Source>
    <b:Tag>Don17</b:Tag>
    <b:SourceType>Report</b:SourceType>
    <b:Guid>{3D6D77C3-A332-43AE-95D7-7552744413ED}</b:Guid>
    <b:Author>
      <b:Author>
        <b:NameList>
          <b:Person>
            <b:Last>Pavan</b:Last>
            <b:First>Donatella</b:First>
            <b:Middle>della Porta &amp; Elena</b:Middle>
          </b:Person>
        </b:NameList>
      </b:Author>
    </b:Author>
    <b:Title>Repertoires of knowledge practices: social movements in times of crisis</b:Title>
    <b:Year>2017</b:Year>
    <b:Publisher>Emerald Publishing Limited</b:Publisher>
    <b:City>United Kingdom</b:City>
    <b:RefOrder>1</b:RefOrder>
  </b:Source>
  <b:Source>
    <b:Tag>Che171</b:Tag>
    <b:SourceType>ArticleInAPeriodical</b:SourceType>
    <b:Guid>{8A91146B-D7CD-450A-B8AE-DF9FBCD5ACBC}</b:Guid>
    <b:Author>
      <b:Author>
        <b:NameList>
          <b:Person>
            <b:Last>朱維鵬</b:Last>
          </b:Person>
        </b:NameList>
      </b:Author>
    </b:Author>
    <b:Title>香港證券業「全球化」發展的研究</b:Title>
    <b:PeriodicalTitle>中外要聞</b:PeriodicalTitle>
    <b:Year>2017</b:Year>
    <b:Month>6</b:Month>
    <b:Day>21</b:Day>
    <b:RefOrder>17</b:RefOrder>
  </b:Source>
  <b:Source>
    <b:Tag>RRa20</b:Tag>
    <b:SourceType>ArticleInAPeriodical</b:SourceType>
    <b:Guid>{05201198-ECE1-4824-8F2A-E086D6C008E4}</b:Guid>
    <b:Title>The Third Pillar: How Markets and the State Leave the Community Behind</b:Title>
    <b:Year>2020</b:Year>
    <b:Author>
      <b:Author>
        <b:NameList>
          <b:Person>
            <b:Last>Rajan</b:Last>
            <b:First>R.</b:First>
          </b:Person>
        </b:NameList>
      </b:Author>
    </b:Author>
    <b:PeriodicalTitle>Harvard Business Review</b:PeriodicalTitle>
    <b:Month>February</b:Month>
    <b:Pages>26 &amp; 27</b:Pages>
    <b:RefOrder>6</b:RefOrder>
  </b:Source>
  <b:Source>
    <b:Tag>Wor20</b:Tag>
    <b:SourceType>InternetSite</b:SourceType>
    <b:Guid>{5D8492DD-A372-49C9-8CCE-DFC93194C297}</b:Guid>
    <b:Year>2020</b:Year>
    <b:Author>
      <b:Author>
        <b:Corporate>World Wide Web Foundation</b:Corporate>
      </b:Author>
    </b:Author>
    <b:InternetSiteTitle>Contract for the Web</b:InternetSiteTitle>
    <b:URL>https://contractfortheweb.org/</b:URL>
    <b:RefOrder>8</b:RefOrder>
  </b:Source>
</b:Sources>
</file>

<file path=customXml/itemProps1.xml><?xml version="1.0" encoding="utf-8"?>
<ds:datastoreItem xmlns:ds="http://schemas.openxmlformats.org/officeDocument/2006/customXml" ds:itemID="{7E57BA16-163F-4993-86AF-60AA8594115F}">
  <ds:schemaRefs/>
</ds:datastoreItem>
</file>

<file path=docProps/app.xml><?xml version="1.0" encoding="utf-8"?>
<Properties xmlns="http://schemas.openxmlformats.org/officeDocument/2006/extended-properties" xmlns:vt="http://schemas.openxmlformats.org/officeDocument/2006/docPropsVTypes">
  <Template>Normal</Template>
  <Pages>18</Pages>
  <Words>2609</Words>
  <Characters>14875</Characters>
  <Lines>123</Lines>
  <Paragraphs>34</Paragraphs>
  <TotalTime>7</TotalTime>
  <ScaleCrop>false</ScaleCrop>
  <LinksUpToDate>false</LinksUpToDate>
  <CharactersWithSpaces>17450</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2020-02-20T03:47:00Z</dcterms:created>
  <dc:creator>chester Chu</dc:creator>
  <cp:lastModifiedBy>chester</cp:lastModifiedBy>
  <cp:lastPrinted>2019-12-12T03:11:00Z</cp:lastPrinted>
  <dcterms:modified xsi:type="dcterms:W3CDTF">2025-06-20T02:01:34Z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99A199350FE840A6AF8BAE952D630736_12</vt:lpwstr>
  </property>
</Properties>
</file>